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533" w:rsidRDefault="00665533">
      <w:pPr>
        <w:spacing w:line="600" w:lineRule="exact"/>
        <w:jc w:val="center"/>
        <w:outlineLvl w:val="0"/>
        <w:rPr>
          <w:rFonts w:ascii="方正小标宋简体" w:eastAsia="方正小标宋简体" w:hAnsi="宋体"/>
          <w:color w:val="000000"/>
          <w:sz w:val="72"/>
          <w:szCs w:val="72"/>
        </w:rPr>
      </w:pPr>
      <w:bookmarkStart w:id="0" w:name="_Toc15306267"/>
    </w:p>
    <w:p w:rsidR="00665533" w:rsidRDefault="00665533">
      <w:pPr>
        <w:spacing w:line="600" w:lineRule="exact"/>
        <w:jc w:val="center"/>
        <w:outlineLvl w:val="0"/>
        <w:rPr>
          <w:rFonts w:ascii="方正小标宋简体" w:eastAsia="方正小标宋简体" w:hAnsi="宋体"/>
          <w:color w:val="000000"/>
          <w:sz w:val="72"/>
          <w:szCs w:val="72"/>
        </w:rPr>
      </w:pPr>
    </w:p>
    <w:p w:rsidR="00665533" w:rsidRDefault="00665533">
      <w:pPr>
        <w:spacing w:line="600" w:lineRule="exact"/>
        <w:jc w:val="center"/>
        <w:outlineLvl w:val="0"/>
        <w:rPr>
          <w:rFonts w:ascii="方正小标宋简体" w:eastAsia="方正小标宋简体" w:hAnsi="宋体"/>
          <w:color w:val="000000"/>
          <w:sz w:val="72"/>
          <w:szCs w:val="72"/>
        </w:rPr>
      </w:pPr>
    </w:p>
    <w:p w:rsidR="00665533" w:rsidRDefault="00215CCF">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bookmarkStart w:id="1" w:name="_Toc15396475"/>
      <w:bookmarkStart w:id="2" w:name="_Toc15378441"/>
      <w:bookmarkStart w:id="3" w:name="_Toc15377425"/>
      <w:bookmarkStart w:id="4" w:name="_Toc15396597"/>
      <w:bookmarkStart w:id="5" w:name="_Toc15377193"/>
      <w:r>
        <w:rPr>
          <w:rFonts w:ascii="方正小标宋简体" w:eastAsia="方正小标宋简体" w:hAnsi="方正小标宋简体" w:cs="方正小标宋简体" w:hint="eastAsia"/>
          <w:color w:val="000000"/>
          <w:sz w:val="52"/>
          <w:szCs w:val="52"/>
        </w:rPr>
        <w:t>2020年度</w:t>
      </w:r>
      <w:bookmarkEnd w:id="1"/>
      <w:bookmarkEnd w:id="2"/>
      <w:bookmarkEnd w:id="3"/>
      <w:bookmarkEnd w:id="4"/>
      <w:bookmarkEnd w:id="5"/>
    </w:p>
    <w:p w:rsidR="00665533" w:rsidRDefault="00215CCF">
      <w:pPr>
        <w:adjustRightInd w:val="0"/>
        <w:snapToGrid w:val="0"/>
        <w:spacing w:line="360" w:lineRule="auto"/>
        <w:jc w:val="center"/>
        <w:outlineLvl w:val="0"/>
        <w:rPr>
          <w:rFonts w:ascii="方正小标宋简体" w:eastAsia="方正小标宋简体" w:hAnsi="宋体"/>
          <w:color w:val="000000"/>
          <w:sz w:val="52"/>
          <w:szCs w:val="52"/>
        </w:rPr>
      </w:pPr>
      <w:bookmarkStart w:id="6" w:name="_Toc15378442"/>
      <w:bookmarkStart w:id="7" w:name="_Toc15377426"/>
      <w:bookmarkStart w:id="8" w:name="_Toc15396598"/>
      <w:bookmarkStart w:id="9" w:name="_Toc15377194"/>
      <w:bookmarkStart w:id="10" w:name="_Toc15396476"/>
      <w:r>
        <w:rPr>
          <w:rFonts w:ascii="方正小标宋简体" w:eastAsia="方正小标宋简体" w:hAnsi="方正小标宋简体" w:cs="方正小标宋简体" w:hint="eastAsia"/>
          <w:color w:val="000000"/>
          <w:sz w:val="52"/>
          <w:szCs w:val="52"/>
        </w:rPr>
        <w:t>四川省</w:t>
      </w:r>
      <w:bookmarkStart w:id="11" w:name="_Toc15306268"/>
      <w:bookmarkEnd w:id="0"/>
      <w:r>
        <w:rPr>
          <w:rFonts w:ascii="方正小标宋简体" w:eastAsia="方正小标宋简体" w:hAnsi="方正小标宋简体" w:cs="方正小标宋简体" w:hint="eastAsia"/>
          <w:color w:val="000000"/>
          <w:sz w:val="52"/>
          <w:szCs w:val="52"/>
        </w:rPr>
        <w:t>地质矿产勘查开发局一0二厂单位决算</w:t>
      </w:r>
      <w:bookmarkEnd w:id="6"/>
      <w:bookmarkEnd w:id="7"/>
      <w:bookmarkEnd w:id="8"/>
      <w:bookmarkEnd w:id="9"/>
      <w:bookmarkEnd w:id="10"/>
      <w:bookmarkEnd w:id="11"/>
    </w:p>
    <w:p w:rsidR="00665533" w:rsidRDefault="00665533">
      <w:pPr>
        <w:widowControl/>
        <w:jc w:val="center"/>
        <w:rPr>
          <w:rFonts w:ascii="黑体" w:eastAsia="黑体" w:hAnsi="黑体"/>
          <w:color w:val="000000"/>
          <w:sz w:val="48"/>
          <w:szCs w:val="48"/>
        </w:rPr>
        <w:sectPr w:rsidR="00665533">
          <w:headerReference w:type="default" r:id="rId8"/>
          <w:footerReference w:type="default" r:id="rId9"/>
          <w:pgSz w:w="11906" w:h="16838"/>
          <w:pgMar w:top="1440" w:right="1800" w:bottom="1440" w:left="1800" w:header="851" w:footer="992" w:gutter="0"/>
          <w:pgNumType w:start="1"/>
          <w:cols w:space="425"/>
          <w:titlePg/>
          <w:docGrid w:type="lines" w:linePitch="312"/>
        </w:sectPr>
      </w:pPr>
    </w:p>
    <w:p w:rsidR="00665533" w:rsidRDefault="00215CCF">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665533" w:rsidRDefault="00665533">
      <w:pPr>
        <w:widowControl/>
        <w:jc w:val="center"/>
        <w:rPr>
          <w:rFonts w:ascii="黑体" w:eastAsia="黑体" w:hAnsi="黑体" w:cstheme="minorBidi"/>
          <w:sz w:val="28"/>
          <w:szCs w:val="28"/>
        </w:rPr>
      </w:pPr>
    </w:p>
    <w:p w:rsidR="00665533" w:rsidRDefault="00215CCF">
      <w:pPr>
        <w:pStyle w:val="10"/>
        <w:rPr>
          <w:rFonts w:ascii="宋体" w:eastAsia="宋体" w:hAnsi="宋体" w:cs="宋体"/>
        </w:rPr>
      </w:pPr>
      <w:r>
        <w:rPr>
          <w:rFonts w:ascii="宋体" w:eastAsia="宋体" w:hAnsi="宋体" w:cs="宋体" w:hint="eastAsia"/>
        </w:rPr>
        <w:t>公开时间：2021年9月10日</w:t>
      </w:r>
    </w:p>
    <w:p w:rsidR="00665533" w:rsidRDefault="00665533"/>
    <w:p w:rsidR="00665533" w:rsidRDefault="00215CCF">
      <w:pPr>
        <w:pStyle w:val="10"/>
        <w:adjustRightInd w:val="0"/>
        <w:snapToGrid w:val="0"/>
        <w:spacing w:before="0" w:line="440" w:lineRule="exact"/>
        <w:jc w:val="left"/>
        <w:rPr>
          <w:rFonts w:ascii="宋体" w:eastAsia="宋体" w:hAnsi="宋体" w:cs="宋体"/>
          <w:sz w:val="24"/>
          <w:szCs w:val="24"/>
        </w:rPr>
      </w:pPr>
      <w:r>
        <w:rPr>
          <w:rFonts w:ascii="宋体" w:eastAsia="宋体" w:hAnsi="宋体" w:cs="宋体" w:hint="eastAsia"/>
          <w:sz w:val="24"/>
        </w:rPr>
        <w:t>第一部分 单位概况</w:t>
      </w:r>
    </w:p>
    <w:p w:rsidR="00665533" w:rsidRDefault="00215CCF">
      <w:pPr>
        <w:pStyle w:val="20"/>
        <w:adjustRightInd w:val="0"/>
        <w:snapToGrid w:val="0"/>
        <w:spacing w:line="440" w:lineRule="exact"/>
        <w:jc w:val="left"/>
        <w:rPr>
          <w:sz w:val="24"/>
        </w:rPr>
      </w:pPr>
      <w:r>
        <w:rPr>
          <w:rFonts w:hint="eastAsia"/>
          <w:sz w:val="24"/>
        </w:rPr>
        <w:t>一、职能简介</w:t>
      </w:r>
      <w:r>
        <w:rPr>
          <w:rFonts w:hint="eastAsia"/>
          <w:sz w:val="24"/>
        </w:rPr>
        <w:t xml:space="preserve"> ..........................................................................</w:t>
      </w:r>
      <w:r>
        <w:rPr>
          <w:rFonts w:ascii="宋体" w:hAnsi="宋体" w:cs="宋体" w:hint="eastAsia"/>
          <w:sz w:val="24"/>
        </w:rPr>
        <w:t>1</w:t>
      </w:r>
      <w:r>
        <w:rPr>
          <w:rFonts w:hint="eastAsia"/>
          <w:sz w:val="24"/>
        </w:rPr>
        <w:t xml:space="preserve">                                    </w:t>
      </w:r>
    </w:p>
    <w:p w:rsidR="00442EF8" w:rsidRDefault="00215CCF">
      <w:pPr>
        <w:pStyle w:val="20"/>
        <w:adjustRightInd w:val="0"/>
        <w:snapToGrid w:val="0"/>
        <w:spacing w:line="440" w:lineRule="exact"/>
        <w:jc w:val="left"/>
        <w:rPr>
          <w:sz w:val="24"/>
        </w:rPr>
      </w:pPr>
      <w:r>
        <w:rPr>
          <w:rFonts w:ascii="宋体" w:hAnsi="宋体" w:cs="宋体" w:hint="eastAsia"/>
          <w:sz w:val="24"/>
        </w:rPr>
        <w:t>二、2020 重点工作完成情况</w:t>
      </w:r>
      <w:r>
        <w:rPr>
          <w:sz w:val="24"/>
        </w:rPr>
        <w:t xml:space="preserve"> </w:t>
      </w:r>
      <w:r>
        <w:rPr>
          <w:rFonts w:hint="eastAsia"/>
          <w:sz w:val="24"/>
        </w:rPr>
        <w:t>................................................</w:t>
      </w:r>
      <w:r>
        <w:rPr>
          <w:rFonts w:ascii="宋体" w:hAnsi="宋体" w:cs="宋体" w:hint="eastAsia"/>
          <w:sz w:val="24"/>
        </w:rPr>
        <w:t xml:space="preserve">1 </w:t>
      </w:r>
      <w:r>
        <w:rPr>
          <w:sz w:val="24"/>
        </w:rPr>
        <w:t xml:space="preserve"> </w:t>
      </w:r>
    </w:p>
    <w:p w:rsidR="00665533" w:rsidRDefault="00442EF8">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三、机构设置情况</w:t>
      </w:r>
      <w:r>
        <w:rPr>
          <w:rFonts w:hint="eastAsia"/>
          <w:sz w:val="24"/>
        </w:rPr>
        <w:t>-----------------------------------------------------1-2</w:t>
      </w:r>
      <w:r w:rsidR="00215CCF">
        <w:rPr>
          <w:sz w:val="24"/>
        </w:rPr>
        <w:t xml:space="preserve">                      </w:t>
      </w:r>
    </w:p>
    <w:p w:rsidR="00665533" w:rsidRDefault="00215CCF">
      <w:pPr>
        <w:pStyle w:val="10"/>
        <w:adjustRightInd w:val="0"/>
        <w:snapToGrid w:val="0"/>
        <w:spacing w:before="0" w:line="440" w:lineRule="exact"/>
        <w:jc w:val="left"/>
        <w:rPr>
          <w:sz w:val="24"/>
          <w:szCs w:val="24"/>
        </w:rPr>
      </w:pPr>
      <w:r>
        <w:rPr>
          <w:rFonts w:ascii="宋体" w:eastAsia="宋体" w:hAnsi="宋体" w:cs="宋体" w:hint="eastAsia"/>
          <w:sz w:val="24"/>
        </w:rPr>
        <w:t>第二部分 2020年度单位决算情况说明</w:t>
      </w:r>
      <w:r>
        <w:rPr>
          <w:rFonts w:hint="eastAsia"/>
          <w:sz w:val="24"/>
        </w:rPr>
        <w:t xml:space="preserve">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w:t>
      </w:r>
      <w:r w:rsidR="00285803">
        <w:rPr>
          <w:rFonts w:ascii="宋体" w:hAnsi="宋体" w:cs="宋体" w:hint="eastAsia"/>
          <w:sz w:val="24"/>
        </w:rPr>
        <w:t>3</w:t>
      </w:r>
      <w:r>
        <w:rPr>
          <w:rFonts w:hint="eastAsia"/>
          <w:sz w:val="24"/>
        </w:rPr>
        <w:t xml:space="preserve">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w:t>
      </w:r>
      <w:r>
        <w:rPr>
          <w:rFonts w:ascii="宋体" w:hAnsi="宋体" w:cs="宋体" w:hint="eastAsia"/>
          <w:sz w:val="24"/>
        </w:rPr>
        <w:t>3-4</w:t>
      </w:r>
      <w:r>
        <w:rPr>
          <w:rFonts w:hint="eastAsia"/>
          <w:sz w:val="24"/>
        </w:rPr>
        <w:t xml:space="preserve">                            </w:t>
      </w:r>
      <w:r>
        <w:rPr>
          <w:rFonts w:asciiTheme="minorEastAsia" w:eastAsiaTheme="minorEastAsia" w:hAnsiTheme="minorEastAsia" w:cstheme="minorEastAsia" w:hint="eastAsia"/>
          <w:sz w:val="24"/>
        </w:rPr>
        <w:t xml:space="preserve"> </w:t>
      </w:r>
    </w:p>
    <w:p w:rsidR="00665533" w:rsidRDefault="00215CCF">
      <w:pPr>
        <w:pStyle w:val="20"/>
        <w:adjustRightInd w:val="0"/>
        <w:snapToGrid w:val="0"/>
        <w:spacing w:line="440" w:lineRule="exact"/>
        <w:jc w:val="left"/>
        <w:rPr>
          <w:rFonts w:ascii="宋体" w:hAnsi="宋体" w:cs="宋体"/>
          <w:sz w:val="24"/>
        </w:rPr>
      </w:pPr>
      <w:r>
        <w:rPr>
          <w:rFonts w:hint="eastAsia"/>
          <w:sz w:val="24"/>
        </w:rPr>
        <w:t>三、支出决算情况说明</w:t>
      </w:r>
      <w:r>
        <w:rPr>
          <w:rFonts w:hint="eastAsia"/>
          <w:sz w:val="24"/>
        </w:rPr>
        <w:t>.............................................................</w:t>
      </w:r>
      <w:r>
        <w:rPr>
          <w:rFonts w:ascii="宋体" w:hAnsi="宋体" w:cs="宋体" w:hint="eastAsia"/>
          <w:sz w:val="24"/>
        </w:rPr>
        <w:t>4-5</w:t>
      </w:r>
      <w:r>
        <w:rPr>
          <w:rFonts w:hint="eastAsia"/>
          <w:sz w:val="24"/>
        </w:rPr>
        <w:t xml:space="preserve">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w:t>
      </w:r>
      <w:r>
        <w:rPr>
          <w:rFonts w:ascii="宋体" w:hAnsi="宋体" w:cs="宋体" w:hint="eastAsia"/>
          <w:sz w:val="24"/>
        </w:rPr>
        <w:t>5-6</w:t>
      </w:r>
      <w:r>
        <w:rPr>
          <w:rFonts w:hint="eastAsia"/>
          <w:sz w:val="24"/>
        </w:rPr>
        <w:t xml:space="preserve">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w:t>
      </w:r>
      <w:r>
        <w:rPr>
          <w:rFonts w:ascii="宋体" w:hAnsi="宋体" w:cs="宋体" w:hint="eastAsia"/>
          <w:sz w:val="24"/>
        </w:rPr>
        <w:t>6-9</w:t>
      </w:r>
      <w:r>
        <w:rPr>
          <w:sz w:val="24"/>
        </w:rPr>
        <w:t xml:space="preserve"> </w:t>
      </w:r>
      <w:r>
        <w:rPr>
          <w:rFonts w:hint="eastAsia"/>
          <w:sz w:val="24"/>
        </w:rPr>
        <w:t xml:space="preserve">         </w:t>
      </w:r>
    </w:p>
    <w:p w:rsidR="00665533" w:rsidRDefault="00215CCF">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六、一般公共预算财政拨款基本支出决算情况说明</w:t>
      </w:r>
      <w:r>
        <w:rPr>
          <w:rFonts w:hint="eastAsia"/>
          <w:sz w:val="24"/>
        </w:rPr>
        <w:t xml:space="preserve">............9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七、</w:t>
      </w:r>
      <w:r>
        <w:rPr>
          <w:sz w:val="24"/>
        </w:rPr>
        <w:t>“</w:t>
      </w:r>
      <w:r>
        <w:rPr>
          <w:rFonts w:hint="eastAsia"/>
          <w:sz w:val="24"/>
        </w:rPr>
        <w:t>三公”经费财政拨款支出决算情况说明</w:t>
      </w:r>
      <w:r>
        <w:rPr>
          <w:rFonts w:hint="eastAsia"/>
          <w:sz w:val="24"/>
        </w:rPr>
        <w:t>.......................</w:t>
      </w:r>
      <w:r>
        <w:rPr>
          <w:rFonts w:ascii="宋体" w:hAnsi="宋体" w:cs="宋体" w:hint="eastAsia"/>
          <w:sz w:val="24"/>
        </w:rPr>
        <w:t>10</w:t>
      </w:r>
      <w:r>
        <w:rPr>
          <w:rFonts w:hint="eastAsia"/>
          <w:sz w:val="24"/>
        </w:rPr>
        <w:t xml:space="preserve">         </w:t>
      </w:r>
    </w:p>
    <w:p w:rsidR="00665533" w:rsidRDefault="00215CCF">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 xml:space="preserve">................................10                </w:t>
      </w:r>
    </w:p>
    <w:p w:rsidR="00665533" w:rsidRDefault="00215CCF">
      <w:pPr>
        <w:pStyle w:val="20"/>
        <w:adjustRightInd w:val="0"/>
        <w:snapToGrid w:val="0"/>
        <w:spacing w:line="440" w:lineRule="exact"/>
        <w:ind w:leftChars="0"/>
        <w:jc w:val="left"/>
        <w:rPr>
          <w:rFonts w:ascii="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r>
        <w:rPr>
          <w:rFonts w:hint="eastAsia"/>
          <w:sz w:val="24"/>
        </w:rPr>
        <w:t>...........................</w:t>
      </w:r>
      <w:r>
        <w:rPr>
          <w:rFonts w:ascii="宋体" w:hAnsi="宋体" w:cs="宋体" w:hint="eastAsia"/>
          <w:sz w:val="24"/>
        </w:rPr>
        <w:t>10</w:t>
      </w:r>
      <w:r>
        <w:rPr>
          <w:rFonts w:hint="eastAsia"/>
          <w:sz w:val="24"/>
        </w:rPr>
        <w:t xml:space="preserve">             </w:t>
      </w:r>
    </w:p>
    <w:p w:rsidR="00665533" w:rsidRDefault="00215CCF">
      <w:pPr>
        <w:adjustRightInd w:val="0"/>
        <w:snapToGrid w:val="0"/>
        <w:spacing w:line="440" w:lineRule="exact"/>
        <w:ind w:firstLineChars="200" w:firstLine="480"/>
        <w:jc w:val="left"/>
        <w:rPr>
          <w:rFonts w:ascii="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hint="eastAsia"/>
          <w:sz w:val="24"/>
        </w:rPr>
        <w:t>................................................</w:t>
      </w:r>
      <w:r>
        <w:rPr>
          <w:rFonts w:ascii="宋体" w:hAnsi="宋体" w:cs="宋体" w:hint="eastAsia"/>
          <w:sz w:val="24"/>
        </w:rPr>
        <w:t>10-11</w:t>
      </w:r>
      <w:r>
        <w:rPr>
          <w:rFonts w:hint="eastAsia"/>
          <w:sz w:val="24"/>
        </w:rPr>
        <w:t xml:space="preserve">                      </w:t>
      </w:r>
      <w:r>
        <w:rPr>
          <w:sz w:val="24"/>
        </w:rPr>
        <w:t xml:space="preserve"> </w:t>
      </w:r>
    </w:p>
    <w:p w:rsidR="00665533" w:rsidRDefault="00215CCF">
      <w:pPr>
        <w:pStyle w:val="10"/>
        <w:adjustRightInd w:val="0"/>
        <w:snapToGrid w:val="0"/>
        <w:spacing w:before="0" w:line="440" w:lineRule="exact"/>
        <w:jc w:val="left"/>
        <w:rPr>
          <w:rFonts w:cstheme="minorBidi"/>
          <w:sz w:val="24"/>
          <w:szCs w:val="24"/>
        </w:rPr>
      </w:pPr>
      <w:r>
        <w:rPr>
          <w:rFonts w:ascii="宋体" w:eastAsia="宋体" w:hAnsi="宋体" w:cs="宋体" w:hint="eastAsia"/>
          <w:sz w:val="24"/>
        </w:rPr>
        <w:t>第三部分 名词解释</w:t>
      </w:r>
      <w:r>
        <w:rPr>
          <w:rFonts w:ascii="Times New Roman" w:hAnsi="Times New Roman"/>
          <w:sz w:val="24"/>
        </w:rPr>
        <w:t>.....................................</w:t>
      </w:r>
      <w:r>
        <w:rPr>
          <w:rFonts w:ascii="Times New Roman" w:hAnsi="Times New Roman" w:hint="eastAsia"/>
          <w:sz w:val="24"/>
        </w:rPr>
        <w:t>.....................................</w:t>
      </w:r>
      <w:r>
        <w:rPr>
          <w:rFonts w:ascii="宋体" w:eastAsia="宋体" w:hAnsi="宋体" w:cs="宋体" w:hint="eastAsia"/>
          <w:sz w:val="24"/>
        </w:rPr>
        <w:t>12-14</w:t>
      </w:r>
      <w:r>
        <w:rPr>
          <w:rFonts w:ascii="Times New Roman" w:hAnsi="Times New Roman"/>
          <w:sz w:val="24"/>
        </w:rPr>
        <w:t xml:space="preserve"> </w:t>
      </w:r>
      <w:r>
        <w:rPr>
          <w:rFonts w:hint="eastAsia"/>
          <w:sz w:val="24"/>
        </w:rPr>
        <w:t xml:space="preserve">                                    </w:t>
      </w:r>
    </w:p>
    <w:p w:rsidR="00665533" w:rsidRDefault="00215CCF">
      <w:pPr>
        <w:pStyle w:val="10"/>
        <w:adjustRightInd w:val="0"/>
        <w:snapToGrid w:val="0"/>
        <w:spacing w:before="0" w:line="440" w:lineRule="exact"/>
        <w:jc w:val="left"/>
        <w:rPr>
          <w:rFonts w:cstheme="minorBidi"/>
          <w:sz w:val="24"/>
          <w:szCs w:val="24"/>
        </w:rPr>
      </w:pPr>
      <w:r>
        <w:rPr>
          <w:rFonts w:ascii="宋体" w:eastAsia="宋体" w:hAnsi="宋体" w:cs="宋体" w:hint="eastAsia"/>
          <w:sz w:val="24"/>
        </w:rPr>
        <w:t>第四部分 附表</w:t>
      </w:r>
      <w:r>
        <w:rPr>
          <w:rFonts w:ascii="Times New Roman" w:hAnsi="Times New Roman"/>
          <w:sz w:val="24"/>
        </w:rPr>
        <w:t>.........................................</w:t>
      </w:r>
      <w:r>
        <w:rPr>
          <w:rFonts w:ascii="Times New Roman" w:hAnsi="Times New Roman" w:hint="eastAsia"/>
          <w:sz w:val="24"/>
        </w:rPr>
        <w:t>.........................................</w:t>
      </w:r>
      <w:r>
        <w:rPr>
          <w:rFonts w:ascii="宋体" w:eastAsia="宋体" w:hAnsi="宋体" w:cs="宋体" w:hint="eastAsia"/>
          <w:sz w:val="24"/>
        </w:rPr>
        <w:t>15</w:t>
      </w:r>
    </w:p>
    <w:p w:rsidR="00665533" w:rsidRDefault="00215CCF">
      <w:pPr>
        <w:pStyle w:val="20"/>
        <w:adjustRightInd w:val="0"/>
        <w:snapToGrid w:val="0"/>
        <w:spacing w:line="440" w:lineRule="exact"/>
        <w:jc w:val="left"/>
        <w:rPr>
          <w:rFonts w:ascii="宋体" w:hAnsi="宋体" w:cs="宋体"/>
          <w:sz w:val="24"/>
        </w:rPr>
      </w:pPr>
      <w:r>
        <w:rPr>
          <w:rFonts w:ascii="宋体" w:hAnsi="宋体" w:cs="宋体" w:hint="eastAsia"/>
          <w:sz w:val="24"/>
        </w:rPr>
        <w:t>一、收入支出决算总表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二、收入决算表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三、支出决算表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四、</w:t>
      </w:r>
      <w:r>
        <w:rPr>
          <w:rFonts w:hint="eastAsia"/>
          <w:sz w:val="24"/>
        </w:rPr>
        <w:t>财政拨款收入支出决算总表</w:t>
      </w:r>
    </w:p>
    <w:p w:rsidR="00665533" w:rsidRDefault="00215CCF">
      <w:pPr>
        <w:pStyle w:val="20"/>
        <w:adjustRightInd w:val="0"/>
        <w:snapToGrid w:val="0"/>
        <w:spacing w:line="440" w:lineRule="exact"/>
        <w:jc w:val="left"/>
        <w:rPr>
          <w:rFonts w:ascii="仿宋" w:eastAsia="仿宋" w:hAnsi="仿宋"/>
          <w:sz w:val="24"/>
        </w:rPr>
      </w:pPr>
      <w:r>
        <w:rPr>
          <w:rFonts w:ascii="宋体" w:hAnsi="宋体" w:cs="宋体" w:hint="eastAsia"/>
          <w:sz w:val="24"/>
        </w:rPr>
        <w:t>五、财政拨款支出决算明细表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六、</w:t>
      </w:r>
      <w:r>
        <w:rPr>
          <w:rFonts w:hint="eastAsia"/>
          <w:sz w:val="24"/>
        </w:rPr>
        <w:t>一般公共预算财政拨款支出决算表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七、</w:t>
      </w:r>
      <w:r>
        <w:rPr>
          <w:rFonts w:hint="eastAsia"/>
          <w:sz w:val="24"/>
        </w:rPr>
        <w:t>一般公共预算财政拨款支出决算明细表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八、</w:t>
      </w:r>
      <w:r>
        <w:rPr>
          <w:rFonts w:hint="eastAsia"/>
          <w:sz w:val="24"/>
        </w:rPr>
        <w:t>一般公共预算财政拨款基本支出决算表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九、</w:t>
      </w:r>
      <w:r>
        <w:rPr>
          <w:rFonts w:hint="eastAsia"/>
          <w:sz w:val="24"/>
        </w:rPr>
        <w:t>一般公共预算财政拨款项目支出决算表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lastRenderedPageBreak/>
        <w:t>十、</w:t>
      </w:r>
      <w:r>
        <w:rPr>
          <w:rFonts w:hint="eastAsia"/>
          <w:sz w:val="24"/>
        </w:rPr>
        <w:t>一般公共预算财政拨款“三公”经费支出决算表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十一、</w:t>
      </w:r>
      <w:r>
        <w:rPr>
          <w:rFonts w:hint="eastAsia"/>
          <w:sz w:val="24"/>
        </w:rPr>
        <w:t>政府性基金预算财政拨款收入支出决算表</w:t>
      </w:r>
    </w:p>
    <w:p w:rsidR="00665533" w:rsidRDefault="00215CCF">
      <w:pPr>
        <w:pStyle w:val="20"/>
        <w:adjustRightInd w:val="0"/>
        <w:snapToGrid w:val="0"/>
        <w:spacing w:line="440" w:lineRule="exact"/>
        <w:jc w:val="left"/>
        <w:rPr>
          <w:rFonts w:ascii="仿宋" w:eastAsia="仿宋" w:hAnsi="仿宋" w:cstheme="minorBidi"/>
          <w:sz w:val="24"/>
        </w:rPr>
      </w:pPr>
      <w:r>
        <w:rPr>
          <w:rFonts w:ascii="宋体" w:hAnsi="宋体" w:cs="宋体" w:hint="eastAsia"/>
          <w:sz w:val="24"/>
        </w:rPr>
        <w:t>十二、</w:t>
      </w:r>
      <w:r>
        <w:rPr>
          <w:rFonts w:hint="eastAsia"/>
          <w:sz w:val="24"/>
        </w:rPr>
        <w:t>政府性基金预算财政拨款“三公”经费支出决算表</w:t>
      </w:r>
    </w:p>
    <w:p w:rsidR="00665533" w:rsidRDefault="00215CCF">
      <w:pPr>
        <w:pStyle w:val="20"/>
        <w:adjustRightInd w:val="0"/>
        <w:snapToGrid w:val="0"/>
        <w:spacing w:line="440" w:lineRule="exact"/>
        <w:jc w:val="left"/>
        <w:rPr>
          <w:sz w:val="24"/>
        </w:rPr>
      </w:pPr>
      <w:r>
        <w:rPr>
          <w:rFonts w:ascii="宋体" w:hAnsi="宋体" w:cs="宋体" w:hint="eastAsia"/>
          <w:sz w:val="24"/>
        </w:rPr>
        <w:t>十三、</w:t>
      </w:r>
      <w:r>
        <w:rPr>
          <w:rFonts w:hint="eastAsia"/>
          <w:sz w:val="24"/>
        </w:rPr>
        <w:t>国有资本经营预算财政拨款收入支出决算表</w:t>
      </w:r>
    </w:p>
    <w:p w:rsidR="00665533" w:rsidRDefault="00215CCF">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p>
    <w:p w:rsidR="00665533" w:rsidRDefault="00665533">
      <w:pPr>
        <w:pStyle w:val="1"/>
        <w:jc w:val="center"/>
        <w:rPr>
          <w:rFonts w:ascii="黑体" w:eastAsia="黑体" w:hAnsi="黑体"/>
          <w:b w:val="0"/>
        </w:rPr>
        <w:sectPr w:rsidR="00665533">
          <w:footerReference w:type="default" r:id="rId10"/>
          <w:footerReference w:type="first" r:id="rId11"/>
          <w:pgSz w:w="11906" w:h="16838"/>
          <w:pgMar w:top="1440" w:right="1800" w:bottom="1440" w:left="1800" w:header="851" w:footer="992" w:gutter="0"/>
          <w:pgNumType w:start="1"/>
          <w:cols w:space="425"/>
          <w:docGrid w:type="lines" w:linePitch="312"/>
        </w:sectPr>
      </w:pPr>
      <w:bookmarkStart w:id="12" w:name="_Toc15396599"/>
      <w:bookmarkStart w:id="13" w:name="_Toc15377196"/>
    </w:p>
    <w:p w:rsidR="00665533" w:rsidRDefault="00215CCF">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665533" w:rsidRDefault="00215CCF">
      <w:pPr>
        <w:pStyle w:val="2"/>
        <w:rPr>
          <w:rFonts w:ascii="黑体" w:eastAsia="黑体" w:hAnsi="黑体"/>
          <w:b w:val="0"/>
          <w:color w:val="000000"/>
        </w:rPr>
      </w:pPr>
      <w:bookmarkStart w:id="14" w:name="_Toc15377197"/>
      <w:bookmarkStart w:id="15" w:name="_Toc15396600"/>
      <w:r>
        <w:rPr>
          <w:rFonts w:ascii="黑体" w:eastAsia="黑体" w:hAnsi="黑体" w:hint="eastAsia"/>
          <w:b w:val="0"/>
          <w:color w:val="000000"/>
        </w:rPr>
        <w:t>一、</w:t>
      </w:r>
      <w:bookmarkEnd w:id="14"/>
      <w:bookmarkEnd w:id="15"/>
      <w:r>
        <w:rPr>
          <w:rFonts w:ascii="黑体" w:eastAsia="黑体" w:hAnsi="黑体" w:hint="eastAsia"/>
          <w:b w:val="0"/>
          <w:color w:val="000000"/>
        </w:rPr>
        <w:t>职能简介</w:t>
      </w:r>
    </w:p>
    <w:p w:rsidR="00665533" w:rsidRDefault="00215CCF">
      <w:pPr>
        <w:spacing w:line="56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四川省地质矿产勘查开发局一0二厂系核定收支、定额补助，提供专业技术服务的事业单位。有1个独立编制机构和1个独立核算机构。</w:t>
      </w:r>
    </w:p>
    <w:p w:rsidR="00665533" w:rsidRDefault="00215CCF">
      <w:pPr>
        <w:spacing w:line="560" w:lineRule="exact"/>
        <w:ind w:firstLineChars="100" w:firstLine="320"/>
        <w:rPr>
          <w:rFonts w:ascii="仿宋" w:eastAsia="仿宋" w:hAnsi="仿宋"/>
          <w:sz w:val="32"/>
          <w:szCs w:val="32"/>
        </w:rPr>
      </w:pPr>
      <w:r>
        <w:rPr>
          <w:rFonts w:ascii="仿宋" w:eastAsia="仿宋" w:hAnsi="仿宋" w:hint="eastAsia"/>
          <w:sz w:val="32"/>
          <w:szCs w:val="32"/>
        </w:rPr>
        <w:t>主要从事地质钻探工具的修理修配，在为地质野外队服务的同时，也从事打捞工具配件、选矿设备、机械加工以及防腐、防水工程和汽车修理等业务。</w:t>
      </w:r>
    </w:p>
    <w:p w:rsidR="00665533" w:rsidRDefault="00215CCF">
      <w:pPr>
        <w:pStyle w:val="a0"/>
        <w:adjustRightInd w:val="0"/>
        <w:snapToGrid w:val="0"/>
        <w:spacing w:before="93" w:line="600" w:lineRule="exact"/>
        <w:outlineLvl w:val="2"/>
        <w:rPr>
          <w:rFonts w:ascii="黑体" w:eastAsia="黑体" w:hAnsi="黑体" w:cs="黑体"/>
          <w:bCs/>
          <w:color w:val="000000"/>
          <w:sz w:val="32"/>
          <w:szCs w:val="32"/>
        </w:rPr>
      </w:pPr>
      <w:bookmarkStart w:id="16" w:name="_Toc15378446"/>
      <w:bookmarkStart w:id="17" w:name="_Toc15377199"/>
      <w:r>
        <w:rPr>
          <w:rFonts w:ascii="黑体" w:eastAsia="黑体" w:hAnsi="黑体" w:cs="黑体" w:hint="eastAsia"/>
          <w:bCs/>
          <w:color w:val="000000"/>
          <w:sz w:val="32"/>
          <w:szCs w:val="32"/>
        </w:rPr>
        <w:t>二、2020年重点工作完成情况</w:t>
      </w:r>
      <w:bookmarkEnd w:id="16"/>
      <w:bookmarkEnd w:id="17"/>
    </w:p>
    <w:p w:rsidR="00665533" w:rsidRDefault="00215CCF">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积极开拓选矿设备市场，扩大合同量。在现有的生产设备和人员基础上，努力闯市场、抓合同、通过增加职工收入达到稳定职工队伍目的。</w:t>
      </w:r>
    </w:p>
    <w:p w:rsidR="00665533" w:rsidRDefault="00215CCF">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继续做好棚户区改造建房一期工程的收尾工作，督促施工方完成规划核实、消防验收等工作，努力实现2021年上半年分房到户目标；积极推进我厂棚户区改造二期建设项目，加大厂区、生活区环境整治力度，推进和谐小区构建工作。</w:t>
      </w:r>
    </w:p>
    <w:p w:rsidR="00665533" w:rsidRDefault="00215CCF">
      <w:pPr>
        <w:spacing w:line="56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积极稳妥推进土地开发。充分利用我厂面临的发展机遇，推动存量土地的开发利用，努力打造新的经济增长点，助推攀西阳光康养度假基地建设开新局。</w:t>
      </w:r>
    </w:p>
    <w:p w:rsidR="00665533" w:rsidRDefault="00215CCF">
      <w:pPr>
        <w:spacing w:line="56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继续做好疫情防控工作，确保抗疫取得最终胜利。</w:t>
      </w:r>
    </w:p>
    <w:p w:rsidR="00665533" w:rsidRDefault="00215CCF">
      <w:pPr>
        <w:spacing w:line="560" w:lineRule="exact"/>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继续加强内部审计监督工作，加大制度建设力度。</w:t>
      </w:r>
    </w:p>
    <w:p w:rsidR="00442EF8" w:rsidRPr="00BF6028" w:rsidRDefault="00442EF8" w:rsidP="00442EF8">
      <w:pPr>
        <w:pStyle w:val="a0"/>
        <w:spacing w:before="93"/>
        <w:rPr>
          <w:rFonts w:ascii="黑体" w:eastAsia="黑体" w:hAnsi="黑体"/>
          <w:sz w:val="32"/>
          <w:szCs w:val="32"/>
        </w:rPr>
      </w:pPr>
      <w:r w:rsidRPr="00BF6028">
        <w:rPr>
          <w:rFonts w:ascii="黑体" w:eastAsia="黑体" w:hAnsi="黑体" w:hint="eastAsia"/>
          <w:sz w:val="32"/>
          <w:szCs w:val="32"/>
        </w:rPr>
        <w:t>三、机构设置情况</w:t>
      </w:r>
    </w:p>
    <w:p w:rsidR="00442EF8" w:rsidRDefault="00442EF8" w:rsidP="00442EF8">
      <w:pPr>
        <w:pStyle w:val="a0"/>
        <w:spacing w:before="93"/>
      </w:pPr>
      <w:r>
        <w:rPr>
          <w:rFonts w:ascii="仿宋" w:eastAsia="仿宋" w:hAnsi="仿宋" w:cs="仿宋_GB2312" w:hint="eastAsia"/>
          <w:sz w:val="32"/>
          <w:szCs w:val="32"/>
        </w:rPr>
        <w:lastRenderedPageBreak/>
        <w:t>四川省地质矿产勘查开发局一0二厂</w:t>
      </w:r>
      <w:r>
        <w:rPr>
          <w:rFonts w:hint="eastAsia"/>
        </w:rPr>
        <w:t>由1</w:t>
      </w:r>
      <w:r w:rsidR="00142147">
        <w:rPr>
          <w:rFonts w:hint="eastAsia"/>
        </w:rPr>
        <w:t>2</w:t>
      </w:r>
      <w:r>
        <w:rPr>
          <w:rFonts w:hint="eastAsia"/>
        </w:rPr>
        <w:t>个科室组成，分别是：办公室、党办、财务科、劳人科、离退休科、技术科、物业所、技安科、审计科、</w:t>
      </w:r>
      <w:r w:rsidR="00FC458E">
        <w:rPr>
          <w:rFonts w:hint="eastAsia"/>
        </w:rPr>
        <w:t>企管办、</w:t>
      </w:r>
      <w:r>
        <w:rPr>
          <w:rFonts w:hint="eastAsia"/>
        </w:rPr>
        <w:t>销售处、纪检监察。</w:t>
      </w:r>
    </w:p>
    <w:p w:rsidR="00442EF8" w:rsidRPr="00442EF8" w:rsidRDefault="00442EF8" w:rsidP="00442EF8">
      <w:pPr>
        <w:pStyle w:val="a0"/>
        <w:spacing w:before="93"/>
      </w:pPr>
    </w:p>
    <w:p w:rsidR="00665533" w:rsidRDefault="00215CCF">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665533" w:rsidRDefault="00215CCF">
      <w:pPr>
        <w:pStyle w:val="1"/>
        <w:ind w:right="440"/>
        <w:jc w:val="right"/>
        <w:rPr>
          <w:rStyle w:val="1Char"/>
          <w:rFonts w:ascii="黑体" w:eastAsia="黑体" w:hAnsi="黑体"/>
        </w:rPr>
      </w:pPr>
      <w:bookmarkStart w:id="18" w:name="_Toc15377204"/>
      <w:bookmarkStart w:id="19"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2020年度单位决算情况说明</w:t>
      </w:r>
      <w:bookmarkEnd w:id="18"/>
      <w:bookmarkEnd w:id="19"/>
    </w:p>
    <w:p w:rsidR="00665533" w:rsidRDefault="00665533"/>
    <w:p w:rsidR="00665533" w:rsidRDefault="00215CCF">
      <w:pPr>
        <w:pStyle w:val="a9"/>
        <w:numPr>
          <w:ilvl w:val="0"/>
          <w:numId w:val="1"/>
        </w:numPr>
        <w:spacing w:line="600" w:lineRule="exact"/>
        <w:ind w:firstLineChars="0"/>
        <w:outlineLvl w:val="1"/>
        <w:rPr>
          <w:rStyle w:val="2Char"/>
          <w:rFonts w:ascii="黑体" w:eastAsia="黑体" w:hAnsi="黑体"/>
          <w:b w:val="0"/>
        </w:rPr>
      </w:pPr>
      <w:bookmarkStart w:id="20" w:name="_Toc15396603"/>
      <w:bookmarkStart w:id="21"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0"/>
      <w:bookmarkEnd w:id="21"/>
    </w:p>
    <w:p w:rsidR="00665533" w:rsidRDefault="00215CC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年度收、支总计1294.23万元。与2019年相比，收入减少47.91万元，下降3.57%、支出减少47.91万元，下降3.57%；主要变动原因是离退休和在职人数的减少，造成社会保险费、工资、离休费、一次性生活补贴及困难补助减少。</w:t>
      </w:r>
    </w:p>
    <w:p w:rsidR="00665533" w:rsidRDefault="00665533">
      <w:pPr>
        <w:spacing w:line="600" w:lineRule="exact"/>
        <w:ind w:firstLine="640"/>
        <w:rPr>
          <w:rFonts w:ascii="仿宋" w:eastAsia="仿宋" w:hAnsi="仿宋"/>
          <w:color w:val="000000"/>
          <w:sz w:val="32"/>
          <w:szCs w:val="32"/>
        </w:rPr>
      </w:pPr>
    </w:p>
    <w:p w:rsidR="00665533" w:rsidRDefault="00215CC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0288" behindDoc="0" locked="0" layoutInCell="1" allowOverlap="1">
            <wp:simplePos x="0" y="0"/>
            <wp:positionH relativeFrom="column">
              <wp:posOffset>191770</wp:posOffset>
            </wp:positionH>
            <wp:positionV relativeFrom="paragraph">
              <wp:posOffset>95250</wp:posOffset>
            </wp:positionV>
            <wp:extent cx="5080000" cy="3810000"/>
            <wp:effectExtent l="4445" t="4445" r="2095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65533" w:rsidRDefault="00215CCF">
      <w:pPr>
        <w:pStyle w:val="a9"/>
        <w:numPr>
          <w:ilvl w:val="0"/>
          <w:numId w:val="1"/>
        </w:numPr>
        <w:spacing w:line="600" w:lineRule="exact"/>
        <w:ind w:firstLineChars="0"/>
        <w:outlineLvl w:val="1"/>
        <w:rPr>
          <w:rStyle w:val="2Char"/>
          <w:rFonts w:ascii="黑体" w:eastAsia="黑体" w:hAnsi="黑体"/>
          <w:b w:val="0"/>
        </w:rPr>
      </w:pPr>
      <w:bookmarkStart w:id="22" w:name="_Toc15396604"/>
      <w:bookmarkStart w:id="23"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665533" w:rsidRDefault="00215CCF">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20年本年收入合计1294.23万元，其中：一般公共预</w:t>
      </w:r>
      <w:r>
        <w:rPr>
          <w:rFonts w:ascii="仿宋" w:eastAsia="仿宋" w:hAnsi="仿宋" w:hint="eastAsia"/>
          <w:color w:val="000000"/>
          <w:sz w:val="32"/>
          <w:szCs w:val="32"/>
        </w:rPr>
        <w:lastRenderedPageBreak/>
        <w:t>算财政拨款收入1292.70万元，占99.88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；其他收入1.53万元，占0.12</w:t>
      </w:r>
      <w:r>
        <w:rPr>
          <w:rFonts w:ascii="仿宋" w:eastAsia="仿宋" w:hAnsi="仿宋"/>
          <w:color w:val="000000"/>
          <w:sz w:val="32"/>
          <w:szCs w:val="32"/>
        </w:rPr>
        <w:t>%</w:t>
      </w:r>
      <w:r>
        <w:rPr>
          <w:rFonts w:ascii="仿宋" w:eastAsia="仿宋" w:hAnsi="仿宋" w:hint="eastAsia"/>
          <w:color w:val="000000"/>
          <w:sz w:val="32"/>
          <w:szCs w:val="32"/>
        </w:rPr>
        <w:t>。</w:t>
      </w:r>
    </w:p>
    <w:p w:rsidR="00665533" w:rsidRDefault="00215CCF">
      <w:pPr>
        <w:spacing w:line="600" w:lineRule="exact"/>
        <w:ind w:firstLineChars="200" w:firstLine="640"/>
        <w:outlineLvl w:val="1"/>
        <w:rPr>
          <w:rFonts w:ascii="仿宋" w:eastAsia="仿宋" w:hAnsi="仿宋"/>
          <w:color w:val="000000" w:themeColor="text1"/>
          <w:sz w:val="32"/>
          <w:szCs w:val="32"/>
        </w:rPr>
      </w:pPr>
      <w:r>
        <w:rPr>
          <w:rFonts w:ascii="仿宋" w:eastAsia="仿宋" w:hAnsi="仿宋" w:hint="eastAsia"/>
          <w:noProof/>
          <w:color w:val="000000"/>
          <w:sz w:val="32"/>
          <w:szCs w:val="32"/>
        </w:rPr>
        <w:drawing>
          <wp:anchor distT="0" distB="0" distL="114300" distR="114300" simplePos="0" relativeHeight="251661312" behindDoc="0" locked="0" layoutInCell="1" allowOverlap="1">
            <wp:simplePos x="0" y="0"/>
            <wp:positionH relativeFrom="column">
              <wp:posOffset>391795</wp:posOffset>
            </wp:positionH>
            <wp:positionV relativeFrom="paragraph">
              <wp:posOffset>318770</wp:posOffset>
            </wp:positionV>
            <wp:extent cx="4403725" cy="3495675"/>
            <wp:effectExtent l="4445" t="4445" r="11430"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65533" w:rsidRDefault="00215CCF">
      <w:pPr>
        <w:pStyle w:val="a9"/>
        <w:numPr>
          <w:ilvl w:val="0"/>
          <w:numId w:val="1"/>
        </w:numPr>
        <w:spacing w:line="600" w:lineRule="exact"/>
        <w:ind w:firstLineChars="0"/>
        <w:outlineLvl w:val="1"/>
        <w:rPr>
          <w:rStyle w:val="2Char"/>
          <w:rFonts w:ascii="黑体" w:eastAsia="黑体" w:hAnsi="黑体"/>
          <w:b w:val="0"/>
        </w:rPr>
      </w:pPr>
      <w:bookmarkStart w:id="24" w:name="_Toc15377207"/>
      <w:bookmarkStart w:id="25"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4"/>
      <w:bookmarkEnd w:id="25"/>
    </w:p>
    <w:p w:rsidR="00665533" w:rsidRDefault="00215CCF">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20年本年支出合计1294.23万元，其中：基本支出1212.23万元，占93.66</w:t>
      </w:r>
      <w:r>
        <w:rPr>
          <w:rFonts w:ascii="仿宋" w:eastAsia="仿宋" w:hAnsi="仿宋"/>
          <w:color w:val="000000"/>
          <w:sz w:val="32"/>
          <w:szCs w:val="32"/>
        </w:rPr>
        <w:t>%</w:t>
      </w:r>
      <w:r>
        <w:rPr>
          <w:rFonts w:ascii="仿宋" w:eastAsia="仿宋" w:hAnsi="仿宋" w:hint="eastAsia"/>
          <w:color w:val="000000"/>
          <w:sz w:val="32"/>
          <w:szCs w:val="32"/>
        </w:rPr>
        <w:t>；项目支出82.00万元，占6.34</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665533" w:rsidRDefault="00665533">
      <w:pPr>
        <w:spacing w:line="600" w:lineRule="exact"/>
        <w:ind w:firstLine="640"/>
        <w:rPr>
          <w:rFonts w:ascii="仿宋" w:eastAsia="仿宋" w:hAnsi="仿宋"/>
          <w:color w:val="000000"/>
          <w:sz w:val="32"/>
          <w:szCs w:val="32"/>
          <w:shd w:val="pct10" w:color="auto" w:fill="FFFFFF"/>
        </w:rPr>
      </w:pPr>
    </w:p>
    <w:p w:rsidR="00665533" w:rsidRDefault="00665533">
      <w:pPr>
        <w:spacing w:line="600" w:lineRule="exact"/>
        <w:ind w:firstLine="640"/>
        <w:rPr>
          <w:rFonts w:ascii="仿宋" w:eastAsia="仿宋" w:hAnsi="仿宋"/>
          <w:color w:val="000000"/>
          <w:sz w:val="32"/>
          <w:szCs w:val="32"/>
          <w:shd w:val="pct10" w:color="auto" w:fill="FFFFFF"/>
        </w:rPr>
      </w:pPr>
    </w:p>
    <w:p w:rsidR="00665533" w:rsidRDefault="00665533">
      <w:pPr>
        <w:spacing w:line="600" w:lineRule="exact"/>
        <w:ind w:firstLine="640"/>
        <w:rPr>
          <w:rFonts w:ascii="仿宋" w:eastAsia="仿宋" w:hAnsi="仿宋"/>
          <w:color w:val="000000"/>
          <w:sz w:val="32"/>
          <w:szCs w:val="32"/>
          <w:shd w:val="pct10" w:color="auto" w:fill="FFFFFF"/>
        </w:rPr>
      </w:pPr>
    </w:p>
    <w:p w:rsidR="00665533" w:rsidRDefault="00215CCF">
      <w:pPr>
        <w:spacing w:line="600" w:lineRule="exact"/>
        <w:ind w:firstLine="640"/>
        <w:rPr>
          <w:rFonts w:ascii="仿宋_GB2312" w:eastAsia="仿宋_GB2312"/>
          <w:color w:val="FF0000"/>
          <w:sz w:val="32"/>
          <w:szCs w:val="32"/>
        </w:rPr>
      </w:pPr>
      <w:r>
        <w:rPr>
          <w:rFonts w:ascii="仿宋" w:eastAsia="仿宋" w:hAnsi="仿宋" w:hint="eastAsia"/>
          <w:noProof/>
          <w:color w:val="000000"/>
          <w:sz w:val="32"/>
          <w:szCs w:val="32"/>
          <w:shd w:val="pct10" w:color="auto" w:fill="FFFFFF"/>
        </w:rPr>
        <w:lastRenderedPageBreak/>
        <w:drawing>
          <wp:anchor distT="0" distB="0" distL="114300" distR="114300" simplePos="0" relativeHeight="251662336" behindDoc="0" locked="0" layoutInCell="1" allowOverlap="1">
            <wp:simplePos x="0" y="0"/>
            <wp:positionH relativeFrom="column">
              <wp:posOffset>210820</wp:posOffset>
            </wp:positionH>
            <wp:positionV relativeFrom="paragraph">
              <wp:posOffset>318770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65533" w:rsidRDefault="00215CCF">
      <w:pPr>
        <w:spacing w:line="600" w:lineRule="exact"/>
        <w:ind w:firstLineChars="200" w:firstLine="640"/>
        <w:outlineLvl w:val="1"/>
        <w:rPr>
          <w:rStyle w:val="2Char"/>
          <w:rFonts w:ascii="黑体" w:eastAsia="黑体" w:hAnsi="黑体"/>
          <w:b w:val="0"/>
        </w:rPr>
      </w:pPr>
      <w:bookmarkStart w:id="26" w:name="_Toc15377208"/>
      <w:bookmarkStart w:id="27"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665533" w:rsidRDefault="00215CCF">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20年财政拨款收、支总计1292.70万元。与</w:t>
      </w:r>
      <w:r>
        <w:rPr>
          <w:rFonts w:ascii="仿宋" w:eastAsia="仿宋" w:hAnsi="仿宋"/>
          <w:color w:val="000000"/>
          <w:sz w:val="32"/>
          <w:szCs w:val="32"/>
        </w:rPr>
        <w:t>201</w:t>
      </w:r>
      <w:r>
        <w:rPr>
          <w:rFonts w:ascii="仿宋" w:eastAsia="仿宋" w:hAnsi="仿宋" w:hint="eastAsia"/>
          <w:color w:val="000000"/>
          <w:sz w:val="32"/>
          <w:szCs w:val="32"/>
        </w:rPr>
        <w:t>9年相比，财政拨款收入减少45.75万元、支出减少45.75万元，下降3.42</w:t>
      </w:r>
      <w:r>
        <w:rPr>
          <w:rFonts w:ascii="仿宋" w:eastAsia="仿宋" w:hAnsi="仿宋"/>
          <w:color w:val="000000"/>
          <w:sz w:val="32"/>
          <w:szCs w:val="32"/>
        </w:rPr>
        <w:t>%</w:t>
      </w:r>
      <w:r>
        <w:rPr>
          <w:rFonts w:ascii="仿宋" w:eastAsia="仿宋" w:hAnsi="仿宋" w:hint="eastAsia"/>
          <w:color w:val="000000"/>
          <w:sz w:val="32"/>
          <w:szCs w:val="32"/>
        </w:rPr>
        <w:t>。主要变动原因是离退休和在职人数的减少，造成社会保险费、工资、离休费、一次性生活补贴及困难补助减少。</w:t>
      </w:r>
    </w:p>
    <w:p w:rsidR="00665533" w:rsidRDefault="00665533">
      <w:pPr>
        <w:spacing w:line="600" w:lineRule="exact"/>
        <w:rPr>
          <w:rFonts w:ascii="仿宋" w:eastAsia="仿宋" w:hAnsi="仿宋"/>
          <w:color w:val="000000"/>
          <w:sz w:val="32"/>
          <w:szCs w:val="32"/>
        </w:rPr>
      </w:pPr>
    </w:p>
    <w:p w:rsidR="00665533" w:rsidRDefault="00665533">
      <w:pPr>
        <w:spacing w:line="600" w:lineRule="exact"/>
        <w:rPr>
          <w:rFonts w:ascii="仿宋" w:eastAsia="仿宋" w:hAnsi="仿宋"/>
          <w:color w:val="000000"/>
          <w:sz w:val="32"/>
          <w:szCs w:val="32"/>
        </w:rPr>
      </w:pPr>
    </w:p>
    <w:p w:rsidR="00665533" w:rsidRDefault="00665533">
      <w:pPr>
        <w:spacing w:line="600" w:lineRule="exact"/>
        <w:rPr>
          <w:rFonts w:ascii="仿宋" w:eastAsia="仿宋" w:hAnsi="仿宋"/>
          <w:color w:val="000000"/>
          <w:sz w:val="32"/>
          <w:szCs w:val="32"/>
        </w:rPr>
      </w:pPr>
    </w:p>
    <w:p w:rsidR="00665533" w:rsidRDefault="00665533">
      <w:pPr>
        <w:spacing w:line="600" w:lineRule="exact"/>
        <w:rPr>
          <w:rFonts w:ascii="仿宋" w:eastAsia="仿宋" w:hAnsi="仿宋"/>
          <w:color w:val="000000"/>
          <w:sz w:val="32"/>
          <w:szCs w:val="32"/>
        </w:rPr>
      </w:pPr>
    </w:p>
    <w:p w:rsidR="00665533" w:rsidRDefault="00665533">
      <w:pPr>
        <w:spacing w:line="600" w:lineRule="exact"/>
        <w:rPr>
          <w:rFonts w:ascii="仿宋" w:eastAsia="仿宋" w:hAnsi="仿宋"/>
          <w:color w:val="000000"/>
          <w:sz w:val="32"/>
          <w:szCs w:val="32"/>
        </w:rPr>
      </w:pPr>
    </w:p>
    <w:p w:rsidR="00665533" w:rsidRDefault="00215CCF">
      <w:pPr>
        <w:spacing w:line="600" w:lineRule="exact"/>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3360" behindDoc="0" locked="0" layoutInCell="1" allowOverlap="1">
            <wp:simplePos x="0" y="0"/>
            <wp:positionH relativeFrom="column">
              <wp:posOffset>-52705</wp:posOffset>
            </wp:positionH>
            <wp:positionV relativeFrom="paragraph">
              <wp:posOffset>404495</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65533" w:rsidRDefault="00665533">
      <w:pPr>
        <w:spacing w:line="600" w:lineRule="exact"/>
        <w:rPr>
          <w:rFonts w:ascii="仿宋" w:eastAsia="仿宋" w:hAnsi="仿宋"/>
          <w:color w:val="000000"/>
          <w:sz w:val="32"/>
          <w:szCs w:val="32"/>
        </w:rPr>
      </w:pPr>
    </w:p>
    <w:p w:rsidR="00665533" w:rsidRDefault="00215CCF">
      <w:pPr>
        <w:spacing w:line="600" w:lineRule="exact"/>
        <w:ind w:firstLineChars="200" w:firstLine="640"/>
        <w:outlineLvl w:val="1"/>
        <w:rPr>
          <w:rStyle w:val="2Char"/>
          <w:rFonts w:ascii="黑体" w:eastAsia="黑体" w:hAnsi="黑体"/>
          <w:b w:val="0"/>
        </w:rPr>
      </w:pPr>
      <w:bookmarkStart w:id="28" w:name="_Toc15377209"/>
      <w:bookmarkStart w:id="29"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8"/>
      <w:bookmarkEnd w:id="29"/>
    </w:p>
    <w:p w:rsidR="00665533" w:rsidRDefault="00215CCF">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665533" w:rsidRDefault="00215CCF">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20年一般公共预算财政拨款支出1292.70万元，占本年支出合计的99.88</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9年相比，一般公共预算财政拨款减少45.75万元，下降3.42</w:t>
      </w:r>
      <w:r>
        <w:rPr>
          <w:rFonts w:ascii="仿宋" w:eastAsia="仿宋" w:hAnsi="仿宋"/>
          <w:color w:val="000000"/>
          <w:sz w:val="32"/>
          <w:szCs w:val="32"/>
        </w:rPr>
        <w:t>%</w:t>
      </w:r>
      <w:r>
        <w:rPr>
          <w:rFonts w:ascii="仿宋" w:eastAsia="仿宋" w:hAnsi="仿宋" w:hint="eastAsia"/>
          <w:color w:val="000000"/>
          <w:sz w:val="32"/>
          <w:szCs w:val="32"/>
        </w:rPr>
        <w:t>。主要变动原因是离退休和在职人数的减少，造成社会保险费、工资、离休费、一次性生活补贴及困难补助减少。</w:t>
      </w:r>
    </w:p>
    <w:p w:rsidR="00665533" w:rsidRDefault="00665533">
      <w:pPr>
        <w:spacing w:line="600" w:lineRule="exact"/>
        <w:ind w:firstLineChars="200" w:firstLine="640"/>
        <w:rPr>
          <w:rFonts w:ascii="仿宋" w:eastAsia="仿宋" w:hAnsi="仿宋"/>
          <w:color w:val="000000"/>
          <w:sz w:val="32"/>
          <w:szCs w:val="32"/>
        </w:rPr>
      </w:pPr>
    </w:p>
    <w:p w:rsidR="00665533" w:rsidRDefault="00665533">
      <w:pPr>
        <w:spacing w:line="600" w:lineRule="exact"/>
        <w:ind w:firstLineChars="200" w:firstLine="640"/>
        <w:rPr>
          <w:rFonts w:ascii="仿宋" w:eastAsia="仿宋" w:hAnsi="仿宋"/>
          <w:color w:val="000000"/>
          <w:sz w:val="32"/>
          <w:szCs w:val="32"/>
        </w:rPr>
      </w:pPr>
    </w:p>
    <w:p w:rsidR="00665533" w:rsidRDefault="00665533">
      <w:pPr>
        <w:spacing w:line="600" w:lineRule="exact"/>
        <w:ind w:firstLineChars="200" w:firstLine="640"/>
        <w:rPr>
          <w:rFonts w:ascii="仿宋" w:eastAsia="仿宋" w:hAnsi="仿宋"/>
          <w:color w:val="000000"/>
          <w:sz w:val="32"/>
          <w:szCs w:val="32"/>
        </w:rPr>
      </w:pPr>
    </w:p>
    <w:p w:rsidR="00665533" w:rsidRDefault="00665533">
      <w:pPr>
        <w:spacing w:line="600" w:lineRule="exact"/>
        <w:ind w:firstLineChars="200" w:firstLine="640"/>
        <w:rPr>
          <w:rFonts w:ascii="仿宋" w:eastAsia="仿宋" w:hAnsi="仿宋"/>
          <w:color w:val="000000"/>
          <w:sz w:val="32"/>
          <w:szCs w:val="32"/>
        </w:rPr>
      </w:pPr>
    </w:p>
    <w:p w:rsidR="00665533" w:rsidRDefault="00215CCF">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4384" behindDoc="0" locked="0" layoutInCell="1" allowOverlap="1">
            <wp:simplePos x="0" y="0"/>
            <wp:positionH relativeFrom="column">
              <wp:posOffset>172720</wp:posOffset>
            </wp:positionH>
            <wp:positionV relativeFrom="paragraph">
              <wp:posOffset>118745</wp:posOffset>
            </wp:positionV>
            <wp:extent cx="5080000" cy="381000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65533" w:rsidRDefault="00215CCF">
      <w:pPr>
        <w:spacing w:line="600" w:lineRule="exact"/>
        <w:ind w:firstLineChars="200" w:firstLine="643"/>
        <w:outlineLvl w:val="2"/>
        <w:rPr>
          <w:rFonts w:ascii="仿宋" w:eastAsia="仿宋" w:hAnsi="仿宋"/>
          <w:b/>
          <w:color w:val="000000"/>
          <w:sz w:val="32"/>
          <w:szCs w:val="32"/>
        </w:rPr>
      </w:pPr>
      <w:bookmarkStart w:id="31" w:name="_Toc15377211"/>
      <w:r>
        <w:rPr>
          <w:rFonts w:ascii="仿宋" w:eastAsia="仿宋" w:hAnsi="仿宋" w:hint="eastAsia"/>
          <w:b/>
          <w:color w:val="000000"/>
          <w:sz w:val="32"/>
          <w:szCs w:val="32"/>
        </w:rPr>
        <w:t>（二）一般公共预算财政拨款支出决算结构情况</w:t>
      </w:r>
      <w:bookmarkEnd w:id="31"/>
    </w:p>
    <w:p w:rsidR="00665533" w:rsidRDefault="00215CCF">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w:t>
      </w:r>
      <w:r>
        <w:rPr>
          <w:rFonts w:ascii="仿宋" w:eastAsia="仿宋" w:hAnsi="仿宋" w:hint="eastAsia"/>
          <w:color w:val="000000" w:themeColor="text1"/>
          <w:sz w:val="32"/>
          <w:szCs w:val="32"/>
        </w:rPr>
        <w:t>政拨款支出1292.70万元，主要用于以下方面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b/>
          <w:bCs/>
          <w:color w:val="000000" w:themeColor="text1"/>
          <w:sz w:val="32"/>
          <w:szCs w:val="32"/>
        </w:rPr>
        <w:t>支出</w:t>
      </w:r>
      <w:r>
        <w:rPr>
          <w:rFonts w:ascii="仿宋" w:eastAsia="仿宋" w:hAnsi="仿宋" w:hint="eastAsia"/>
          <w:color w:val="000000" w:themeColor="text1"/>
          <w:sz w:val="32"/>
          <w:szCs w:val="32"/>
        </w:rPr>
        <w:t>369.36万元，占28.57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70.82万元，占5.48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资源勘探工业信息等支出</w:t>
      </w:r>
      <w:r>
        <w:rPr>
          <w:rFonts w:ascii="仿宋" w:eastAsia="仿宋" w:hAnsi="仿宋" w:hint="eastAsia"/>
          <w:color w:val="000000" w:themeColor="text1"/>
          <w:sz w:val="32"/>
          <w:szCs w:val="32"/>
        </w:rPr>
        <w:t>780.86万元，占60.41；</w:t>
      </w:r>
      <w:r>
        <w:rPr>
          <w:rFonts w:ascii="仿宋" w:eastAsia="仿宋" w:hAnsi="仿宋" w:hint="eastAsia"/>
          <w:b/>
          <w:bCs/>
          <w:color w:val="000000" w:themeColor="text1"/>
          <w:sz w:val="32"/>
          <w:szCs w:val="32"/>
        </w:rPr>
        <w:t>住房保障支出</w:t>
      </w:r>
      <w:r>
        <w:rPr>
          <w:rFonts w:ascii="仿宋" w:eastAsia="仿宋" w:hAnsi="仿宋" w:hint="eastAsia"/>
          <w:color w:val="000000" w:themeColor="text1"/>
          <w:sz w:val="32"/>
          <w:szCs w:val="32"/>
        </w:rPr>
        <w:t>71.66万元，占5.54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665533" w:rsidRDefault="00665533">
      <w:pPr>
        <w:spacing w:line="600" w:lineRule="exact"/>
        <w:ind w:firstLine="640"/>
        <w:rPr>
          <w:rFonts w:ascii="仿宋" w:eastAsia="仿宋" w:hAnsi="仿宋"/>
          <w:color w:val="000000" w:themeColor="text1"/>
          <w:sz w:val="32"/>
          <w:szCs w:val="32"/>
        </w:rPr>
      </w:pPr>
    </w:p>
    <w:p w:rsidR="00665533" w:rsidRDefault="00665533">
      <w:pPr>
        <w:spacing w:line="600" w:lineRule="exact"/>
        <w:ind w:firstLine="640"/>
        <w:rPr>
          <w:rFonts w:ascii="仿宋" w:eastAsia="仿宋" w:hAnsi="仿宋"/>
          <w:color w:val="000000" w:themeColor="text1"/>
          <w:sz w:val="32"/>
          <w:szCs w:val="32"/>
        </w:rPr>
      </w:pPr>
    </w:p>
    <w:p w:rsidR="00665533" w:rsidRDefault="00665533">
      <w:pPr>
        <w:spacing w:line="600" w:lineRule="exact"/>
        <w:ind w:firstLine="640"/>
        <w:rPr>
          <w:rFonts w:ascii="仿宋" w:eastAsia="仿宋" w:hAnsi="仿宋"/>
          <w:color w:val="000000" w:themeColor="text1"/>
          <w:sz w:val="32"/>
          <w:szCs w:val="32"/>
        </w:rPr>
      </w:pPr>
    </w:p>
    <w:p w:rsidR="00665533" w:rsidRDefault="00665533">
      <w:pPr>
        <w:spacing w:line="600" w:lineRule="exact"/>
        <w:ind w:firstLine="640"/>
        <w:rPr>
          <w:rFonts w:ascii="仿宋" w:eastAsia="仿宋" w:hAnsi="仿宋"/>
          <w:color w:val="000000" w:themeColor="text1"/>
          <w:sz w:val="32"/>
          <w:szCs w:val="32"/>
        </w:rPr>
      </w:pPr>
    </w:p>
    <w:p w:rsidR="00665533" w:rsidRDefault="00665533">
      <w:pPr>
        <w:spacing w:line="600" w:lineRule="exact"/>
        <w:ind w:firstLine="640"/>
        <w:rPr>
          <w:rFonts w:ascii="仿宋" w:eastAsia="仿宋" w:hAnsi="仿宋"/>
          <w:color w:val="000000" w:themeColor="text1"/>
          <w:sz w:val="32"/>
          <w:szCs w:val="32"/>
        </w:rPr>
      </w:pPr>
    </w:p>
    <w:p w:rsidR="00665533" w:rsidRDefault="00215CCF">
      <w:pPr>
        <w:spacing w:line="600" w:lineRule="exact"/>
        <w:ind w:firstLine="640"/>
        <w:rPr>
          <w:rFonts w:ascii="仿宋" w:eastAsia="仿宋" w:hAnsi="仿宋"/>
          <w:color w:val="000000"/>
          <w:sz w:val="32"/>
          <w:szCs w:val="32"/>
        </w:rPr>
      </w:pPr>
      <w:r>
        <w:rPr>
          <w:rFonts w:ascii="仿宋" w:eastAsia="仿宋" w:hAnsi="仿宋"/>
          <w:noProof/>
          <w:color w:val="000000" w:themeColor="text1"/>
          <w:sz w:val="32"/>
          <w:szCs w:val="32"/>
        </w:rPr>
        <w:lastRenderedPageBreak/>
        <w:drawing>
          <wp:anchor distT="0" distB="0" distL="114300" distR="114300" simplePos="0" relativeHeight="251665408" behindDoc="0" locked="0" layoutInCell="1" allowOverlap="1">
            <wp:simplePos x="0" y="0"/>
            <wp:positionH relativeFrom="column">
              <wp:posOffset>239395</wp:posOffset>
            </wp:positionH>
            <wp:positionV relativeFrom="paragraph">
              <wp:posOffset>185420</wp:posOffset>
            </wp:positionV>
            <wp:extent cx="5080000" cy="38100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65533" w:rsidRDefault="00215CCF">
      <w:pPr>
        <w:spacing w:line="600" w:lineRule="exact"/>
        <w:ind w:firstLineChars="200" w:firstLine="643"/>
        <w:outlineLvl w:val="2"/>
        <w:rPr>
          <w:rFonts w:ascii="仿宋" w:eastAsia="仿宋" w:hAnsi="仿宋"/>
          <w:b/>
          <w:color w:val="000000"/>
          <w:sz w:val="32"/>
          <w:szCs w:val="32"/>
        </w:rPr>
      </w:pPr>
      <w:bookmarkStart w:id="32" w:name="_Toc15377212"/>
      <w:r>
        <w:rPr>
          <w:rFonts w:ascii="仿宋" w:eastAsia="仿宋" w:hAnsi="仿宋" w:hint="eastAsia"/>
          <w:b/>
          <w:color w:val="000000"/>
          <w:sz w:val="32"/>
          <w:szCs w:val="32"/>
        </w:rPr>
        <w:t>（三）一般公共预算财政拨款支出决算具体情况</w:t>
      </w:r>
      <w:bookmarkEnd w:id="32"/>
    </w:p>
    <w:p w:rsidR="00665533" w:rsidRDefault="00215CCF">
      <w:pPr>
        <w:spacing w:line="600" w:lineRule="exact"/>
        <w:ind w:firstLineChars="200" w:firstLine="643"/>
        <w:outlineLvl w:val="2"/>
        <w:rPr>
          <w:rFonts w:ascii="仿宋" w:eastAsia="仿宋" w:hAnsi="仿宋"/>
          <w:color w:val="FF0000"/>
          <w:sz w:val="32"/>
          <w:szCs w:val="32"/>
        </w:rPr>
      </w:pPr>
      <w:bookmarkStart w:id="33" w:name="_Toc15377213"/>
      <w:bookmarkStart w:id="34" w:name="_Toc15377444"/>
      <w:bookmarkStart w:id="35" w:name="_Toc15378460"/>
      <w:r>
        <w:rPr>
          <w:rFonts w:ascii="仿宋" w:eastAsia="仿宋" w:hAnsi="仿宋" w:hint="eastAsia"/>
          <w:b/>
          <w:color w:val="000000" w:themeColor="text1"/>
          <w:sz w:val="32"/>
          <w:szCs w:val="32"/>
        </w:rPr>
        <w:t>2020年一般公共预算支出决算数为1292.70万元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3"/>
      <w:bookmarkEnd w:id="34"/>
      <w:bookmarkEnd w:id="35"/>
    </w:p>
    <w:p w:rsidR="00665533" w:rsidRDefault="00215CCF">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社会保障和就业支出（类）行政事业单位养老支出（款）事业单位离退休（项）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支出决算为224.36万元，完成预算100%。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社会保障和就业支出（类）行政事业单位养老支出（款）机关事业单位基本养老保险缴费支出（项）</w:t>
      </w:r>
      <w:r>
        <w:rPr>
          <w:rStyle w:val="a7"/>
          <w:rFonts w:ascii="仿宋" w:eastAsia="仿宋" w:hAnsi="仿宋" w:hint="eastAsia"/>
          <w:b w:val="0"/>
          <w:color w:val="000000"/>
          <w:sz w:val="32"/>
          <w:szCs w:val="32"/>
        </w:rPr>
        <w:t>：支出决算为93.25万元，完成预算100%。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社会保障和就业支出（类）行政事业单位养老支出（款）机关事业单位职业年金缴费支出（项）</w:t>
      </w:r>
      <w:r>
        <w:rPr>
          <w:rStyle w:val="a7"/>
          <w:rFonts w:ascii="仿宋" w:eastAsia="仿宋" w:hAnsi="仿宋" w:hint="eastAsia"/>
          <w:b w:val="0"/>
          <w:color w:val="000000"/>
          <w:sz w:val="32"/>
          <w:szCs w:val="32"/>
        </w:rPr>
        <w:t>：支出决算为46.58</w:t>
      </w:r>
      <w:r>
        <w:rPr>
          <w:rStyle w:val="a7"/>
          <w:rFonts w:ascii="仿宋" w:eastAsia="仿宋" w:hAnsi="仿宋" w:hint="eastAsia"/>
          <w:b w:val="0"/>
          <w:color w:val="000000"/>
          <w:sz w:val="32"/>
          <w:szCs w:val="32"/>
        </w:rPr>
        <w:lastRenderedPageBreak/>
        <w:t>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社会保障和就业支出（类）其他社会保障和就业支出（款）其他社会保障和就业支出（项）</w:t>
      </w:r>
      <w:r>
        <w:rPr>
          <w:rStyle w:val="a7"/>
          <w:rFonts w:ascii="仿宋" w:eastAsia="仿宋" w:hAnsi="仿宋" w:hint="eastAsia"/>
          <w:b w:val="0"/>
          <w:color w:val="000000"/>
          <w:sz w:val="32"/>
          <w:szCs w:val="32"/>
        </w:rPr>
        <w:t>：支出决算为5.17万元，完成预算100%。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卫生健康支出（类）行政事业单位医疗（款）事业单位医疗（项）</w:t>
      </w:r>
      <w:r>
        <w:rPr>
          <w:rStyle w:val="a7"/>
          <w:rFonts w:ascii="仿宋" w:eastAsia="仿宋" w:hAnsi="仿宋" w:hint="eastAsia"/>
          <w:b w:val="0"/>
          <w:color w:val="000000"/>
          <w:sz w:val="32"/>
          <w:szCs w:val="32"/>
        </w:rPr>
        <w:t>：支出决算为70.82万元，完成预算100%。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资源勘探工业信息等支出（类）资源勘探开发（款）其他资源勘探业支出（项）</w:t>
      </w:r>
      <w:r>
        <w:rPr>
          <w:rStyle w:val="a7"/>
          <w:rFonts w:ascii="仿宋" w:eastAsia="仿宋" w:hAnsi="仿宋" w:hint="eastAsia"/>
          <w:b w:val="0"/>
          <w:color w:val="000000"/>
          <w:sz w:val="32"/>
          <w:szCs w:val="32"/>
        </w:rPr>
        <w:t>：支出决算为780.86万元，完成预算100%。</w:t>
      </w:r>
    </w:p>
    <w:p w:rsidR="00665533" w:rsidRDefault="00215CCF">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住房保障支出（类）住房改革支出（款）住房公积金（项）</w:t>
      </w:r>
      <w:r>
        <w:rPr>
          <w:rStyle w:val="a7"/>
          <w:rFonts w:ascii="仿宋" w:eastAsia="仿宋" w:hAnsi="仿宋" w:hint="eastAsia"/>
          <w:b w:val="0"/>
          <w:color w:val="000000"/>
          <w:sz w:val="32"/>
          <w:szCs w:val="32"/>
        </w:rPr>
        <w:t>：支出决算为71.66万元，完成预算100%。</w:t>
      </w:r>
    </w:p>
    <w:p w:rsidR="00665533" w:rsidRDefault="00665533">
      <w:pPr>
        <w:spacing w:line="600" w:lineRule="exact"/>
        <w:ind w:firstLine="640"/>
        <w:rPr>
          <w:rFonts w:ascii="仿宋" w:eastAsia="仿宋" w:hAnsi="仿宋"/>
          <w:b/>
          <w:color w:val="000000"/>
          <w:sz w:val="32"/>
          <w:szCs w:val="32"/>
        </w:rPr>
      </w:pPr>
    </w:p>
    <w:p w:rsidR="00665533" w:rsidRDefault="00215CCF">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665533" w:rsidRDefault="00215CCF">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20年一般公共预算财政拨款基本支出1210.70万元，其中：</w:t>
      </w:r>
    </w:p>
    <w:p w:rsidR="00665533" w:rsidRDefault="00215CC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1121.62万元，主要包括：基本工资、津贴补贴、绩效工资、机关事业单位基本养老保险缴费、职业年金缴费、职工基本医疗保险缴费、其他社会保障缴费、其他工资福利支出、离休费、奖励金、住房公积金、其他对个人和家庭的补助支出。</w:t>
      </w:r>
    </w:p>
    <w:p w:rsidR="00665533" w:rsidRDefault="00215CC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日常公用经费89.08万元，主要包括：办公费、水费、电费、差旅费、维修（护）费、工会经费、福利费、其他商品和服务支出。</w:t>
      </w:r>
    </w:p>
    <w:p w:rsidR="00665533" w:rsidRDefault="00665533">
      <w:pPr>
        <w:spacing w:line="600" w:lineRule="exact"/>
        <w:ind w:firstLine="640"/>
        <w:rPr>
          <w:rFonts w:ascii="仿宋" w:eastAsia="仿宋" w:hAnsi="仿宋"/>
          <w:b/>
          <w:color w:val="FF0000"/>
          <w:sz w:val="32"/>
          <w:szCs w:val="32"/>
        </w:rPr>
      </w:pPr>
    </w:p>
    <w:p w:rsidR="00665533" w:rsidRDefault="00215CCF">
      <w:pPr>
        <w:spacing w:line="60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665533" w:rsidRDefault="00215CCF">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665533" w:rsidRDefault="00215CCF">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本单位为事业单位，无三公经费。</w:t>
      </w:r>
      <w:r>
        <w:rPr>
          <w:rFonts w:ascii="仿宋" w:eastAsia="仿宋" w:hAnsi="仿宋" w:cs="仿宋" w:hint="eastAsia"/>
          <w:color w:val="000000"/>
          <w:sz w:val="32"/>
          <w:szCs w:val="32"/>
        </w:rPr>
        <w:t>2</w:t>
      </w:r>
      <w:r>
        <w:rPr>
          <w:rFonts w:ascii="仿宋" w:eastAsia="仿宋" w:hAnsi="仿宋" w:cs="仿宋" w:hint="eastAsia"/>
          <w:sz w:val="32"/>
          <w:szCs w:val="32"/>
        </w:rPr>
        <w:t>019年三公经费为0，2020年三公经费为0，与上年度一致，与上年度相比无增减变化。</w:t>
      </w:r>
    </w:p>
    <w:p w:rsidR="00665533" w:rsidRDefault="00215CCF">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rsidR="00665533" w:rsidRDefault="00215CCF">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本单位为事业单位，无三公经费。</w:t>
      </w:r>
      <w:r>
        <w:rPr>
          <w:rFonts w:ascii="仿宋" w:eastAsia="仿宋" w:hAnsi="仿宋" w:cs="仿宋" w:hint="eastAsia"/>
          <w:color w:val="000000"/>
          <w:sz w:val="32"/>
          <w:szCs w:val="32"/>
        </w:rPr>
        <w:t>2</w:t>
      </w:r>
      <w:r>
        <w:rPr>
          <w:rFonts w:ascii="仿宋" w:eastAsia="仿宋" w:hAnsi="仿宋" w:cs="仿宋" w:hint="eastAsia"/>
          <w:sz w:val="32"/>
          <w:szCs w:val="32"/>
        </w:rPr>
        <w:t>019年三公经费为0，2020年三公经费为0，与上年度一致，与上年度相比无增减变化。</w:t>
      </w:r>
    </w:p>
    <w:p w:rsidR="00665533" w:rsidRDefault="00665533" w:rsidP="00665533">
      <w:pPr>
        <w:pStyle w:val="a0"/>
        <w:spacing w:before="93"/>
      </w:pPr>
    </w:p>
    <w:p w:rsidR="00665533" w:rsidRDefault="00215CCF">
      <w:pPr>
        <w:spacing w:line="600" w:lineRule="exact"/>
        <w:ind w:firstLine="640"/>
        <w:outlineLvl w:val="1"/>
        <w:rPr>
          <w:rStyle w:val="2Char"/>
          <w:rFonts w:ascii="黑体" w:eastAsia="黑体" w:hAnsi="黑体"/>
        </w:rPr>
      </w:pPr>
      <w:bookmarkStart w:id="42" w:name="_Toc15377218"/>
      <w:bookmarkStart w:id="43"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665533" w:rsidRDefault="00215CCF">
      <w:pPr>
        <w:spacing w:line="600" w:lineRule="exact"/>
        <w:ind w:firstLine="640"/>
        <w:rPr>
          <w:rFonts w:ascii="仿宋_GB2312" w:eastAsia="仿宋_GB2312"/>
          <w:color w:val="000000"/>
          <w:sz w:val="32"/>
          <w:szCs w:val="32"/>
        </w:rPr>
      </w:pPr>
      <w:r>
        <w:rPr>
          <w:rFonts w:ascii="仿宋" w:eastAsia="仿宋" w:hAnsi="仿宋" w:cs="仿宋" w:hint="eastAsia"/>
          <w:color w:val="000000"/>
          <w:sz w:val="32"/>
          <w:szCs w:val="32"/>
        </w:rPr>
        <w:t>2020年政府性基金预算拨款支出0万元。</w:t>
      </w:r>
    </w:p>
    <w:p w:rsidR="00665533" w:rsidRDefault="00665533">
      <w:pPr>
        <w:spacing w:line="600" w:lineRule="exact"/>
        <w:ind w:firstLine="640"/>
        <w:rPr>
          <w:rFonts w:ascii="仿宋_GB2312" w:eastAsia="仿宋_GB2312"/>
          <w:color w:val="000000"/>
          <w:sz w:val="32"/>
          <w:szCs w:val="32"/>
        </w:rPr>
      </w:pPr>
    </w:p>
    <w:p w:rsidR="00665533" w:rsidRDefault="00215CCF">
      <w:pPr>
        <w:numPr>
          <w:ilvl w:val="0"/>
          <w:numId w:val="2"/>
        </w:numPr>
        <w:spacing w:line="600" w:lineRule="exact"/>
        <w:ind w:firstLine="640"/>
        <w:outlineLvl w:val="1"/>
        <w:rPr>
          <w:rStyle w:val="2Char"/>
          <w:rFonts w:ascii="黑体" w:eastAsia="黑体" w:hAnsi="黑体"/>
          <w:b w:val="0"/>
        </w:rPr>
      </w:pPr>
      <w:bookmarkStart w:id="44" w:name="_Toc15396611"/>
      <w:bookmarkStart w:id="45" w:name="_Toc15377219"/>
      <w:r>
        <w:rPr>
          <w:rStyle w:val="2Char"/>
          <w:rFonts w:ascii="黑体" w:eastAsia="黑体" w:hAnsi="黑体" w:hint="eastAsia"/>
          <w:b w:val="0"/>
        </w:rPr>
        <w:t>国有资本经营预算支出决算情况说明</w:t>
      </w:r>
      <w:bookmarkEnd w:id="44"/>
      <w:bookmarkEnd w:id="45"/>
    </w:p>
    <w:p w:rsidR="00665533" w:rsidRDefault="00215CCF">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2020年国有资本经营预算拨款支出0万元。</w:t>
      </w:r>
    </w:p>
    <w:p w:rsidR="00665533" w:rsidRDefault="00665533">
      <w:pPr>
        <w:spacing w:line="580" w:lineRule="exact"/>
        <w:jc w:val="center"/>
        <w:rPr>
          <w:rFonts w:ascii="方正小标宋简体" w:eastAsia="方正小标宋简体" w:hAnsi="方正小标宋简体" w:cs="方正小标宋简体"/>
          <w:sz w:val="44"/>
          <w:szCs w:val="44"/>
        </w:rPr>
      </w:pPr>
    </w:p>
    <w:p w:rsidR="00665533" w:rsidRDefault="00215CCF">
      <w:pPr>
        <w:numPr>
          <w:ilvl w:val="0"/>
          <w:numId w:val="2"/>
        </w:numPr>
        <w:spacing w:line="600" w:lineRule="exact"/>
        <w:ind w:firstLine="640"/>
        <w:outlineLvl w:val="1"/>
        <w:rPr>
          <w:rStyle w:val="2Char"/>
          <w:rFonts w:ascii="黑体" w:eastAsia="黑体" w:hAnsi="黑体"/>
          <w:b w:val="0"/>
        </w:rPr>
      </w:pPr>
      <w:bookmarkStart w:id="46" w:name="_Toc15396612"/>
      <w:bookmarkStart w:id="47" w:name="_Toc15377221"/>
      <w:r>
        <w:rPr>
          <w:rStyle w:val="2Char"/>
          <w:rFonts w:ascii="黑体" w:eastAsia="黑体" w:hAnsi="黑体" w:hint="eastAsia"/>
          <w:b w:val="0"/>
        </w:rPr>
        <w:t>其他重要事项的情况说明</w:t>
      </w:r>
      <w:bookmarkEnd w:id="46"/>
      <w:bookmarkEnd w:id="47"/>
    </w:p>
    <w:p w:rsidR="00665533" w:rsidRDefault="00215CCF">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hint="eastAsia"/>
          <w:b/>
          <w:color w:val="000000"/>
          <w:sz w:val="32"/>
          <w:szCs w:val="32"/>
        </w:rPr>
        <w:t>（一）机关运行经费支出情况</w:t>
      </w:r>
      <w:bookmarkEnd w:id="48"/>
    </w:p>
    <w:p w:rsidR="00665533" w:rsidRDefault="00215CCF">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sz w:val="32"/>
          <w:szCs w:val="32"/>
        </w:rPr>
        <w:t>2020年，无机关运行经费支出。</w:t>
      </w:r>
    </w:p>
    <w:p w:rsidR="00665533" w:rsidRDefault="00215CC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3"/>
      <w:r>
        <w:rPr>
          <w:rFonts w:ascii="仿宋" w:eastAsia="仿宋" w:hAnsi="仿宋" w:hint="eastAsia"/>
          <w:b/>
          <w:color w:val="000000"/>
          <w:sz w:val="32"/>
          <w:szCs w:val="32"/>
        </w:rPr>
        <w:t>（二）政府采购支出情况</w:t>
      </w:r>
      <w:bookmarkEnd w:id="49"/>
    </w:p>
    <w:p w:rsidR="00665533" w:rsidRDefault="00215CC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2020年，无政府采购支出。</w:t>
      </w:r>
    </w:p>
    <w:p w:rsidR="00665533" w:rsidRDefault="00215CC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4"/>
      <w:r>
        <w:rPr>
          <w:rFonts w:ascii="仿宋" w:eastAsia="仿宋" w:hAnsi="仿宋" w:hint="eastAsia"/>
          <w:b/>
          <w:color w:val="000000"/>
          <w:sz w:val="32"/>
          <w:szCs w:val="32"/>
        </w:rPr>
        <w:t>（三）国有资产占有使用情况</w:t>
      </w:r>
      <w:bookmarkEnd w:id="50"/>
    </w:p>
    <w:p w:rsidR="00665533" w:rsidRDefault="00215CCF">
      <w:pPr>
        <w:autoSpaceDE w:val="0"/>
        <w:autoSpaceDN w:val="0"/>
        <w:adjustRightInd w:val="0"/>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截至2020年12月31日，无车辆，无</w:t>
      </w:r>
      <w:r>
        <w:rPr>
          <w:rFonts w:ascii="仿宋" w:eastAsia="仿宋" w:hAnsi="仿宋" w:cs="仿宋" w:hint="eastAsia"/>
          <w:color w:val="000000" w:themeColor="text1"/>
          <w:sz w:val="32"/>
          <w:szCs w:val="32"/>
        </w:rPr>
        <w:t>单价50万元以上的通用设备，无单价100</w:t>
      </w:r>
      <w:r>
        <w:rPr>
          <w:rFonts w:ascii="仿宋" w:eastAsia="仿宋" w:hAnsi="仿宋" w:cs="仿宋" w:hint="eastAsia"/>
          <w:color w:val="000000"/>
          <w:sz w:val="32"/>
          <w:szCs w:val="32"/>
        </w:rPr>
        <w:t>万元以上的专用设备。</w:t>
      </w:r>
    </w:p>
    <w:p w:rsidR="00665533" w:rsidRDefault="00665533" w:rsidP="00665533">
      <w:pPr>
        <w:pStyle w:val="a0"/>
        <w:spacing w:before="93"/>
      </w:pPr>
    </w:p>
    <w:p w:rsidR="00665533" w:rsidRDefault="00215CCF">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65533" w:rsidRDefault="00215CCF" w:rsidP="00665533">
      <w:pPr>
        <w:pStyle w:val="a0"/>
        <w:spacing w:before="93"/>
        <w:rPr>
          <w:rFonts w:eastAsia="仿宋"/>
          <w:bCs/>
        </w:rPr>
      </w:pPr>
      <w:r>
        <w:rPr>
          <w:rFonts w:ascii="仿宋" w:eastAsia="仿宋" w:hAnsi="仿宋" w:hint="eastAsia"/>
          <w:b/>
          <w:sz w:val="32"/>
          <w:szCs w:val="32"/>
        </w:rPr>
        <w:t xml:space="preserve">    </w:t>
      </w:r>
      <w:r>
        <w:rPr>
          <w:rFonts w:ascii="仿宋" w:eastAsia="仿宋" w:hAnsi="仿宋" w:hint="eastAsia"/>
          <w:bCs/>
          <w:sz w:val="32"/>
          <w:szCs w:val="32"/>
        </w:rPr>
        <w:t>本单位不涉及预算绩效管理。</w:t>
      </w:r>
    </w:p>
    <w:p w:rsidR="00665533" w:rsidRDefault="00665533">
      <w:pPr>
        <w:autoSpaceDE w:val="0"/>
        <w:autoSpaceDN w:val="0"/>
        <w:adjustRightInd w:val="0"/>
        <w:spacing w:line="600" w:lineRule="exact"/>
        <w:ind w:firstLineChars="200" w:firstLine="640"/>
        <w:jc w:val="left"/>
        <w:rPr>
          <w:rFonts w:ascii="仿宋_GB2312" w:eastAsia="仿宋_GB2312"/>
          <w:color w:val="000000"/>
          <w:sz w:val="32"/>
          <w:szCs w:val="32"/>
        </w:rPr>
      </w:pPr>
    </w:p>
    <w:p w:rsidR="00665533" w:rsidRDefault="00665533">
      <w:pPr>
        <w:spacing w:line="580" w:lineRule="exact"/>
        <w:ind w:firstLineChars="200" w:firstLine="640"/>
        <w:rPr>
          <w:rFonts w:ascii="仿宋_GB2312" w:eastAsia="仿宋_GB2312"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rsidP="00665533">
      <w:pPr>
        <w:pStyle w:val="a0"/>
        <w:spacing w:before="93"/>
        <w:rPr>
          <w:rFonts w:hAnsi="仿宋_GB2312" w:cs="仿宋_GB2312"/>
          <w:color w:val="0000FF"/>
          <w:sz w:val="32"/>
          <w:szCs w:val="32"/>
        </w:rPr>
      </w:pPr>
    </w:p>
    <w:p w:rsidR="00665533" w:rsidRDefault="00665533">
      <w:pPr>
        <w:spacing w:line="580" w:lineRule="exact"/>
        <w:ind w:firstLineChars="200" w:firstLine="640"/>
        <w:rPr>
          <w:rFonts w:ascii="仿宋_GB2312" w:eastAsia="仿宋_GB2312" w:hAnsi="仿宋_GB2312" w:cs="仿宋_GB2312"/>
          <w:color w:val="0000FF"/>
          <w:sz w:val="32"/>
          <w:szCs w:val="32"/>
        </w:rPr>
      </w:pPr>
    </w:p>
    <w:p w:rsidR="00665533" w:rsidRDefault="00215CCF">
      <w:pPr>
        <w:numPr>
          <w:ilvl w:val="0"/>
          <w:numId w:val="3"/>
        </w:numPr>
        <w:spacing w:line="600" w:lineRule="exact"/>
        <w:ind w:firstLineChars="150" w:firstLine="660"/>
        <w:jc w:val="center"/>
        <w:outlineLvl w:val="0"/>
        <w:rPr>
          <w:rStyle w:val="1Char"/>
          <w:rFonts w:ascii="黑体" w:eastAsia="黑体" w:hAnsi="黑体"/>
          <w:b w:val="0"/>
        </w:rPr>
      </w:pPr>
      <w:bookmarkStart w:id="51" w:name="_Toc15377225"/>
      <w:bookmarkStart w:id="52"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1"/>
      <w:bookmarkEnd w:id="52"/>
    </w:p>
    <w:p w:rsidR="00665533" w:rsidRDefault="00665533">
      <w:pPr>
        <w:spacing w:line="600" w:lineRule="exact"/>
        <w:jc w:val="left"/>
        <w:rPr>
          <w:rFonts w:ascii="宋体"/>
          <w:b/>
          <w:color w:val="000000"/>
          <w:sz w:val="44"/>
          <w:szCs w:val="44"/>
        </w:rPr>
      </w:pPr>
    </w:p>
    <w:p w:rsidR="00665533" w:rsidRDefault="00215CCF">
      <w:pPr>
        <w:pStyle w:val="Default"/>
        <w:spacing w:line="560" w:lineRule="exact"/>
        <w:ind w:firstLineChars="200" w:firstLine="640"/>
        <w:rPr>
          <w:rFonts w:hAnsi="仿宋"/>
          <w:sz w:val="32"/>
          <w:szCs w:val="32"/>
        </w:rPr>
      </w:pPr>
      <w:bookmarkStart w:id="53" w:name="_Toc15377226"/>
      <w:r>
        <w:rPr>
          <w:rFonts w:hAnsi="仿宋" w:hint="eastAsia"/>
          <w:sz w:val="32"/>
          <w:szCs w:val="32"/>
        </w:rPr>
        <w:t>1.财政拨款收入：指本单位从同级财政部门取得的财政预算资金。</w:t>
      </w:r>
    </w:p>
    <w:p w:rsidR="00665533" w:rsidRDefault="00215CCF">
      <w:pPr>
        <w:pStyle w:val="Default"/>
        <w:spacing w:line="560" w:lineRule="exact"/>
        <w:ind w:firstLineChars="200" w:firstLine="640"/>
        <w:rPr>
          <w:rFonts w:hAnsi="仿宋"/>
          <w:sz w:val="32"/>
          <w:szCs w:val="32"/>
        </w:rPr>
      </w:pPr>
      <w:r>
        <w:rPr>
          <w:rFonts w:hAnsi="仿宋" w:hint="eastAsia"/>
          <w:sz w:val="32"/>
          <w:szCs w:val="32"/>
        </w:rPr>
        <w:t>2.事业收入：指事业单位开展专业业务活动及辅助活动取得的收入。本单位无事业收入。</w:t>
      </w:r>
    </w:p>
    <w:p w:rsidR="00665533" w:rsidRDefault="00215CCF">
      <w:pPr>
        <w:pStyle w:val="Default"/>
        <w:spacing w:line="560" w:lineRule="exact"/>
        <w:ind w:firstLineChars="200" w:firstLine="640"/>
        <w:rPr>
          <w:rFonts w:hAnsi="仿宋"/>
          <w:sz w:val="32"/>
          <w:szCs w:val="32"/>
        </w:rPr>
      </w:pPr>
      <w:r>
        <w:rPr>
          <w:rFonts w:hAnsi="仿宋" w:hint="eastAsia"/>
          <w:sz w:val="32"/>
          <w:szCs w:val="32"/>
        </w:rPr>
        <w:t>3.经营收入：指事业单位在专业业务活动及其辅助活动之外开展非独立核算经营活动取得的收入。本单位无经营收入。</w:t>
      </w:r>
    </w:p>
    <w:p w:rsidR="00665533" w:rsidRDefault="00215CCF">
      <w:pPr>
        <w:pStyle w:val="Default"/>
        <w:spacing w:line="560" w:lineRule="exact"/>
        <w:ind w:firstLineChars="200" w:firstLine="640"/>
        <w:rPr>
          <w:rFonts w:hAnsi="仿宋"/>
          <w:sz w:val="32"/>
          <w:szCs w:val="32"/>
        </w:rPr>
      </w:pPr>
      <w:r>
        <w:rPr>
          <w:rFonts w:hAnsi="仿宋" w:hint="eastAsia"/>
          <w:sz w:val="32"/>
          <w:szCs w:val="32"/>
        </w:rPr>
        <w:t xml:space="preserve">4.其他收入：指单位取得的除上述收入以外的各项收入。包括非同级财政拨款收入和利息收入。 </w:t>
      </w:r>
    </w:p>
    <w:p w:rsidR="00665533" w:rsidRDefault="00215CCF">
      <w:pPr>
        <w:pStyle w:val="Default"/>
        <w:spacing w:line="560" w:lineRule="exact"/>
        <w:ind w:firstLineChars="200" w:firstLine="640"/>
        <w:rPr>
          <w:rFonts w:hAnsi="仿宋"/>
          <w:sz w:val="32"/>
          <w:szCs w:val="32"/>
        </w:rPr>
      </w:pPr>
      <w:r>
        <w:rPr>
          <w:rFonts w:hAnsi="仿宋" w:hint="eastAsia"/>
          <w:sz w:val="32"/>
          <w:szCs w:val="32"/>
        </w:rPr>
        <w:t xml:space="preserve">5.使用非财政拨款结余：指事业单位使用以前年度积累的非财政拨款结余弥补当年收支差额的金额。本单位未使用非财政拨款结余。 </w:t>
      </w:r>
    </w:p>
    <w:p w:rsidR="00665533" w:rsidRDefault="00215CCF">
      <w:pPr>
        <w:pStyle w:val="Default"/>
        <w:spacing w:line="560" w:lineRule="exact"/>
        <w:ind w:firstLineChars="200" w:firstLine="640"/>
        <w:rPr>
          <w:rFonts w:hAnsi="仿宋"/>
          <w:sz w:val="32"/>
          <w:szCs w:val="32"/>
        </w:rPr>
      </w:pPr>
      <w:r>
        <w:rPr>
          <w:rFonts w:hAnsi="仿宋" w:hint="eastAsia"/>
          <w:sz w:val="32"/>
          <w:szCs w:val="32"/>
        </w:rPr>
        <w:t xml:space="preserve">6.年初结转和结余：指以前年度尚未完成、结转到本年按有关规定继续使用的资金。本单位无年初结转和结余。 </w:t>
      </w:r>
    </w:p>
    <w:p w:rsidR="00665533" w:rsidRDefault="00215CCF">
      <w:pPr>
        <w:pStyle w:val="Default"/>
        <w:spacing w:line="560" w:lineRule="exact"/>
        <w:ind w:firstLineChars="200" w:firstLine="640"/>
        <w:rPr>
          <w:rFonts w:hAnsi="仿宋"/>
          <w:sz w:val="32"/>
          <w:szCs w:val="32"/>
        </w:rPr>
      </w:pPr>
      <w:r>
        <w:rPr>
          <w:rFonts w:hAnsi="仿宋" w:hint="eastAsia"/>
          <w:sz w:val="32"/>
          <w:szCs w:val="32"/>
        </w:rPr>
        <w:t>7.结余分配：指事业单位按照会计制度规定缴纳的所得税、提取的专用结余以及转入非财政拨款结余的金额等。本单位无结余分配。</w:t>
      </w:r>
    </w:p>
    <w:p w:rsidR="00665533" w:rsidRDefault="00215CCF">
      <w:pPr>
        <w:pStyle w:val="Default"/>
        <w:spacing w:line="560" w:lineRule="exact"/>
        <w:ind w:firstLineChars="200" w:firstLine="640"/>
        <w:rPr>
          <w:rFonts w:hAnsi="仿宋"/>
          <w:sz w:val="32"/>
          <w:szCs w:val="32"/>
        </w:rPr>
      </w:pPr>
      <w:r>
        <w:rPr>
          <w:rFonts w:hAnsi="仿宋" w:hint="eastAsia"/>
          <w:sz w:val="32"/>
          <w:szCs w:val="32"/>
        </w:rPr>
        <w:t>8.年末结转和结余：指单位按有关规定结转到下年或以后年度继续使用的资金。本单位无年末结转和结余。</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9.社会保障和就业（类）行政事业单位养老（款）事业单位离退休（项）：指单位发生的离退休经费，包括离休费</w:t>
      </w:r>
      <w:r>
        <w:rPr>
          <w:rFonts w:ascii="仿宋" w:eastAsia="仿宋" w:hAnsi="仿宋" w:cs="仿宋" w:hint="eastAsia"/>
          <w:color w:val="000000"/>
          <w:sz w:val="32"/>
          <w:szCs w:val="32"/>
        </w:rPr>
        <w:lastRenderedPageBreak/>
        <w:t>和退休一次性生活补助。</w:t>
      </w:r>
    </w:p>
    <w:p w:rsidR="00665533" w:rsidRDefault="00215CCF">
      <w:pPr>
        <w:ind w:firstLineChars="200" w:firstLine="420"/>
        <w:rPr>
          <w:rFonts w:ascii="仿宋" w:eastAsia="仿宋" w:hAnsi="仿宋" w:cs="仿宋"/>
          <w:color w:val="000000"/>
          <w:sz w:val="32"/>
          <w:szCs w:val="32"/>
        </w:rPr>
      </w:pPr>
      <w:r>
        <w:rPr>
          <w:rFonts w:ascii="仿宋" w:eastAsia="仿宋" w:hAnsi="仿宋" w:cs="仿宋" w:hint="eastAsia"/>
        </w:rPr>
        <w:t xml:space="preserve">  </w:t>
      </w:r>
      <w:r>
        <w:rPr>
          <w:rFonts w:ascii="仿宋" w:eastAsia="仿宋" w:hAnsi="仿宋" w:cs="仿宋" w:hint="eastAsia"/>
          <w:color w:val="000000"/>
          <w:sz w:val="32"/>
          <w:szCs w:val="32"/>
        </w:rPr>
        <w:t>10.社会保障和就业（类）行政事业单位养老（款）机关事业单位基本养老保险缴费（项）：指单位实施养老保险制度后由单位缴纳的基本养老保险费支出。</w:t>
      </w:r>
    </w:p>
    <w:p w:rsidR="00665533" w:rsidRDefault="00215CCF" w:rsidP="00665533">
      <w:pPr>
        <w:pStyle w:val="a0"/>
        <w:spacing w:before="93"/>
        <w:ind w:firstLine="600"/>
        <w:rPr>
          <w:rFonts w:ascii="仿宋" w:eastAsia="仿宋" w:hAnsi="仿宋" w:cs="仿宋"/>
          <w:color w:val="000000"/>
          <w:sz w:val="32"/>
          <w:szCs w:val="32"/>
        </w:rPr>
      </w:pPr>
      <w:r>
        <w:rPr>
          <w:rFonts w:ascii="仿宋" w:eastAsia="仿宋" w:hAnsi="仿宋" w:cs="仿宋" w:hint="eastAsia"/>
          <w:color w:val="000000"/>
          <w:sz w:val="32"/>
          <w:szCs w:val="32"/>
        </w:rPr>
        <w:t>11.社会保障和就业（类）行政事业单位养老（款）机关事业单位职业年金缴费（项）：指单位缴纳的职业年金支出。</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12.社会保障和就业（类）其他社会保障和就业（款）其他社会保障和就业（项）：指其他用于社会和保障就业的支出。</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13.卫生健康（类）行政事业单位医疗（款）事业单位医疗（项）：指单位为职工买的基本医疗保险。</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14.资源勘探信息等（类）资源勘探开发（款）其他资源勘探业（项）：指单位保障机构正常运行、开展日常工作的基本支出和实施的项目的支出。</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15.住房保障（类）住房改革（款）住房公积金（项）：指单位为职工缴纳的住房公积金。</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16.基本支出：指为保障机构正常运转、完成日常工作任务而发生的人员支出和公用支出。</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17.项目支出：指在基本支出之外为完成特定行政任务和事业发展目标所发生的支出。 </w:t>
      </w:r>
    </w:p>
    <w:p w:rsidR="00665533" w:rsidRDefault="00215CC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18.经营支出：指事业单位在专业业务活动及其辅助活动之外开展非独立核算经营活动发生的支出。本单位无经营</w:t>
      </w:r>
      <w:r>
        <w:rPr>
          <w:rFonts w:ascii="仿宋" w:eastAsia="仿宋" w:hAnsi="仿宋" w:cs="仿宋" w:hint="eastAsia"/>
          <w:color w:val="000000"/>
          <w:sz w:val="32"/>
          <w:szCs w:val="32"/>
        </w:rPr>
        <w:lastRenderedPageBreak/>
        <w:t>支出。</w:t>
      </w:r>
    </w:p>
    <w:p w:rsidR="00665533" w:rsidRDefault="00215CCF">
      <w:pPr>
        <w:pStyle w:val="Default"/>
        <w:spacing w:line="560" w:lineRule="exact"/>
        <w:ind w:firstLineChars="200" w:firstLine="640"/>
        <w:rPr>
          <w:rFonts w:hAnsi="仿宋"/>
          <w:sz w:val="32"/>
          <w:szCs w:val="32"/>
        </w:rPr>
      </w:pPr>
      <w:r>
        <w:rPr>
          <w:rFonts w:hAnsi="仿宋" w:hint="eastAsia"/>
          <w:sz w:val="32"/>
          <w:szCs w:val="32"/>
        </w:rPr>
        <w:t>19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本单位无“三公”经费。</w:t>
      </w:r>
    </w:p>
    <w:p w:rsidR="00665533" w:rsidRDefault="00215CCF">
      <w:pPr>
        <w:pStyle w:val="Default"/>
        <w:spacing w:line="560" w:lineRule="exact"/>
        <w:ind w:firstLineChars="200" w:firstLine="640"/>
        <w:rPr>
          <w:rFonts w:hAnsi="仿宋"/>
          <w:sz w:val="32"/>
          <w:szCs w:val="32"/>
        </w:rPr>
      </w:pPr>
      <w:r>
        <w:rPr>
          <w:rFonts w:hAnsi="仿宋" w:hint="eastAsia"/>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本单位无机关运行经费。</w:t>
      </w:r>
    </w:p>
    <w:p w:rsidR="00665533" w:rsidRDefault="00665533">
      <w:pPr>
        <w:widowControl/>
        <w:jc w:val="left"/>
        <w:rPr>
          <w:rStyle w:val="1Char"/>
          <w:rFonts w:ascii="黑体" w:eastAsia="黑体" w:hAnsi="黑体"/>
          <w:b w:val="0"/>
        </w:rPr>
      </w:pPr>
    </w:p>
    <w:p w:rsidR="00665533" w:rsidRDefault="00665533">
      <w:pPr>
        <w:spacing w:line="600" w:lineRule="exact"/>
        <w:jc w:val="center"/>
        <w:outlineLvl w:val="0"/>
        <w:rPr>
          <w:rFonts w:ascii="黑体" w:eastAsia="黑体" w:hAnsi="黑体"/>
          <w:color w:val="000000"/>
          <w:sz w:val="44"/>
          <w:szCs w:val="44"/>
        </w:rPr>
      </w:pPr>
      <w:bookmarkStart w:id="54" w:name="_Toc15396618"/>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665533">
      <w:pPr>
        <w:spacing w:line="600" w:lineRule="exact"/>
        <w:outlineLvl w:val="0"/>
        <w:rPr>
          <w:rFonts w:ascii="黑体" w:eastAsia="黑体" w:hAnsi="黑体"/>
          <w:color w:val="000000"/>
          <w:sz w:val="44"/>
          <w:szCs w:val="44"/>
        </w:rPr>
      </w:pPr>
    </w:p>
    <w:p w:rsidR="00665533" w:rsidRDefault="00665533">
      <w:pPr>
        <w:spacing w:line="600" w:lineRule="exact"/>
        <w:jc w:val="center"/>
        <w:outlineLvl w:val="0"/>
        <w:rPr>
          <w:rFonts w:ascii="黑体" w:eastAsia="黑体" w:hAnsi="黑体"/>
          <w:color w:val="000000"/>
          <w:sz w:val="44"/>
          <w:szCs w:val="44"/>
        </w:rPr>
      </w:pPr>
    </w:p>
    <w:p w:rsidR="00665533" w:rsidRDefault="00215CCF">
      <w:pPr>
        <w:spacing w:line="600" w:lineRule="exact"/>
        <w:jc w:val="center"/>
        <w:outlineLvl w:val="0"/>
        <w:rPr>
          <w:rFonts w:ascii="仿宋" w:eastAsia="仿宋" w:hAnsi="仿宋"/>
          <w:color w:val="000000"/>
        </w:rPr>
      </w:pPr>
      <w:r>
        <w:rPr>
          <w:rFonts w:ascii="黑体" w:eastAsia="黑体" w:hAnsi="黑体" w:hint="eastAsia"/>
          <w:color w:val="000000"/>
          <w:sz w:val="44"/>
          <w:szCs w:val="44"/>
        </w:rPr>
        <w:t>第</w:t>
      </w:r>
      <w:r>
        <w:rPr>
          <w:rStyle w:val="1Char"/>
          <w:rFonts w:ascii="黑体" w:eastAsia="黑体" w:hAnsi="黑体" w:hint="eastAsia"/>
          <w:b w:val="0"/>
        </w:rPr>
        <w:t>四部分 附表</w:t>
      </w:r>
      <w:bookmarkStart w:id="55" w:name="_Toc15396619"/>
      <w:bookmarkEnd w:id="53"/>
      <w:bookmarkEnd w:id="54"/>
    </w:p>
    <w:p w:rsidR="00665533" w:rsidRDefault="00215CCF">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55"/>
    </w:p>
    <w:p w:rsidR="00665533" w:rsidRDefault="00215CCF">
      <w:pPr>
        <w:pStyle w:val="2"/>
        <w:rPr>
          <w:rFonts w:ascii="仿宋" w:eastAsia="仿宋" w:hAnsi="仿宋"/>
          <w:color w:val="000000"/>
        </w:rPr>
      </w:pPr>
      <w:bookmarkStart w:id="56" w:name="_Toc15396620"/>
      <w:r>
        <w:rPr>
          <w:rFonts w:ascii="仿宋" w:eastAsia="仿宋" w:hAnsi="仿宋" w:hint="eastAsia"/>
          <w:b w:val="0"/>
          <w:color w:val="000000"/>
        </w:rPr>
        <w:t>二、收</w:t>
      </w:r>
      <w:r>
        <w:rPr>
          <w:rStyle w:val="2Char"/>
          <w:rFonts w:ascii="仿宋" w:eastAsia="仿宋" w:hAnsi="仿宋" w:hint="eastAsia"/>
        </w:rPr>
        <w:t>入决算表</w:t>
      </w:r>
      <w:bookmarkEnd w:id="56"/>
    </w:p>
    <w:p w:rsidR="00665533" w:rsidRDefault="00215CCF">
      <w:pPr>
        <w:pStyle w:val="2"/>
        <w:rPr>
          <w:rFonts w:ascii="仿宋" w:eastAsia="仿宋" w:hAnsi="仿宋"/>
          <w:color w:val="000000"/>
        </w:rPr>
      </w:pPr>
      <w:bookmarkStart w:id="5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7"/>
    </w:p>
    <w:p w:rsidR="00665533" w:rsidRDefault="00215CCF">
      <w:pPr>
        <w:pStyle w:val="2"/>
        <w:rPr>
          <w:rFonts w:ascii="仿宋" w:eastAsia="仿宋" w:hAnsi="仿宋"/>
          <w:b w:val="0"/>
          <w:color w:val="000000"/>
        </w:rPr>
      </w:pPr>
      <w:bookmarkStart w:id="5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w:t>
      </w:r>
      <w:bookmarkStart w:id="59" w:name="_GoBack"/>
      <w:bookmarkEnd w:id="59"/>
      <w:r>
        <w:rPr>
          <w:rStyle w:val="2Char"/>
          <w:rFonts w:ascii="仿宋" w:eastAsia="仿宋" w:hAnsi="仿宋" w:hint="eastAsia"/>
        </w:rPr>
        <w:t>拨款收入支出决算总表</w:t>
      </w:r>
      <w:bookmarkEnd w:id="58"/>
    </w:p>
    <w:p w:rsidR="00665533" w:rsidRDefault="00215CCF">
      <w:pPr>
        <w:pStyle w:val="2"/>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1" w:name="_Toc15396624"/>
      <w:bookmarkEnd w:id="60"/>
    </w:p>
    <w:p w:rsidR="00665533" w:rsidRDefault="00215CCF">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665533" w:rsidRDefault="00215CCF">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665533" w:rsidRDefault="00215CCF">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665533" w:rsidRDefault="00215CCF">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665533" w:rsidRDefault="00215CCF">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665533" w:rsidRDefault="00215CCF">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665533" w:rsidRDefault="00215CCF">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665533" w:rsidRDefault="00215CCF">
      <w:pPr>
        <w:pStyle w:val="2"/>
        <w:rPr>
          <w:rStyle w:val="2Char"/>
          <w:rFonts w:ascii="仿宋" w:eastAsia="仿宋" w:hAnsi="仿宋"/>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8"/>
    </w:p>
    <w:p w:rsidR="00665533" w:rsidRDefault="00215CCF">
      <w:pPr>
        <w:rPr>
          <w:rFonts w:eastAsia="仿宋"/>
        </w:rPr>
      </w:pPr>
      <w:r>
        <w:rPr>
          <w:rStyle w:val="2Char"/>
          <w:rFonts w:ascii="仿宋" w:eastAsia="仿宋" w:hAnsi="仿宋" w:hint="eastAsia"/>
          <w:b w:val="0"/>
          <w:bCs w:val="0"/>
        </w:rPr>
        <w:t>十四、国有资本经营预算财政拨款支出决算表</w:t>
      </w:r>
    </w:p>
    <w:sectPr w:rsidR="00665533" w:rsidSect="00665533">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07" w:rsidRDefault="00F34B07" w:rsidP="00665533">
      <w:r>
        <w:separator/>
      </w:r>
    </w:p>
  </w:endnote>
  <w:endnote w:type="continuationSeparator" w:id="0">
    <w:p w:rsidR="00F34B07" w:rsidRDefault="00F34B07" w:rsidP="00665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65533" w:rsidRDefault="005D3134">
        <w:pPr>
          <w:pStyle w:val="a5"/>
          <w:jc w:val="center"/>
        </w:pPr>
        <w:r>
          <w:fldChar w:fldCharType="begin"/>
        </w:r>
        <w:r w:rsidR="00215CCF">
          <w:instrText>PAGE   \* MERGEFORMAT</w:instrText>
        </w:r>
        <w:r>
          <w:fldChar w:fldCharType="separate"/>
        </w:r>
        <w:r w:rsidR="00215CCF">
          <w:rPr>
            <w:lang w:val="zh-CN"/>
          </w:rPr>
          <w:t>8</w:t>
        </w:r>
        <w:r>
          <w:fldChar w:fldCharType="end"/>
        </w:r>
      </w:p>
    </w:sdtContent>
  </w:sdt>
  <w:p w:rsidR="00665533" w:rsidRDefault="006655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33" w:rsidRDefault="005D3134">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65533" w:rsidRDefault="005D3134">
                <w:pPr>
                  <w:pStyle w:val="a5"/>
                </w:pPr>
                <w:r>
                  <w:fldChar w:fldCharType="begin"/>
                </w:r>
                <w:r w:rsidR="00215CCF">
                  <w:instrText xml:space="preserve"> PAGE  \* MERGEFORMAT </w:instrText>
                </w:r>
                <w:r>
                  <w:fldChar w:fldCharType="separate"/>
                </w:r>
                <w:r w:rsidR="00FC458E">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33" w:rsidRDefault="005D3134">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665533" w:rsidRDefault="005D3134">
                <w:pPr>
                  <w:pStyle w:val="a5"/>
                </w:pPr>
                <w:r>
                  <w:fldChar w:fldCharType="begin"/>
                </w:r>
                <w:r w:rsidR="00215CCF">
                  <w:instrText xml:space="preserve"> PAGE  \* MERGEFORMAT </w:instrText>
                </w:r>
                <w:r>
                  <w:fldChar w:fldCharType="separate"/>
                </w:r>
                <w:r w:rsidR="00215CCF">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33" w:rsidRDefault="005D3134">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665533" w:rsidRDefault="005D3134">
                <w:pPr>
                  <w:pStyle w:val="a5"/>
                </w:pPr>
                <w:r>
                  <w:fldChar w:fldCharType="begin"/>
                </w:r>
                <w:r w:rsidR="00215CCF">
                  <w:instrText xml:space="preserve"> PAGE  \* MERGEFORMAT </w:instrText>
                </w:r>
                <w:r>
                  <w:fldChar w:fldCharType="separate"/>
                </w:r>
                <w:r w:rsidR="0014214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07" w:rsidRDefault="00F34B07" w:rsidP="00665533">
      <w:r>
        <w:separator/>
      </w:r>
    </w:p>
  </w:footnote>
  <w:footnote w:type="continuationSeparator" w:id="0">
    <w:p w:rsidR="00F34B07" w:rsidRDefault="00F34B07" w:rsidP="00665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533" w:rsidRDefault="0066553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QyNDAyYTJjZDEzZjU0NTk0N2U3NDU3YzRmZjMzO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147"/>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5CCF"/>
    <w:rsid w:val="00220536"/>
    <w:rsid w:val="00235629"/>
    <w:rsid w:val="00260C38"/>
    <w:rsid w:val="002616C0"/>
    <w:rsid w:val="00265372"/>
    <w:rsid w:val="002662AA"/>
    <w:rsid w:val="00280496"/>
    <w:rsid w:val="00285803"/>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2EF8"/>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313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5533"/>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4043"/>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4B07"/>
    <w:rsid w:val="00F36D8F"/>
    <w:rsid w:val="00F417B1"/>
    <w:rsid w:val="00F45853"/>
    <w:rsid w:val="00F602DF"/>
    <w:rsid w:val="00F754A1"/>
    <w:rsid w:val="00F81FD9"/>
    <w:rsid w:val="00F841AA"/>
    <w:rsid w:val="00F84A94"/>
    <w:rsid w:val="00F87E96"/>
    <w:rsid w:val="00FA23E8"/>
    <w:rsid w:val="00FC458E"/>
    <w:rsid w:val="00FD3CC1"/>
    <w:rsid w:val="00FF1E02"/>
    <w:rsid w:val="00FF30B4"/>
    <w:rsid w:val="01F96AC2"/>
    <w:rsid w:val="04635904"/>
    <w:rsid w:val="053C00E2"/>
    <w:rsid w:val="05A40143"/>
    <w:rsid w:val="05B20734"/>
    <w:rsid w:val="0A2032A3"/>
    <w:rsid w:val="0AD04124"/>
    <w:rsid w:val="0B4D666C"/>
    <w:rsid w:val="0D3978E2"/>
    <w:rsid w:val="0D74461E"/>
    <w:rsid w:val="0E971D1E"/>
    <w:rsid w:val="0F99497D"/>
    <w:rsid w:val="10C055FF"/>
    <w:rsid w:val="118107EC"/>
    <w:rsid w:val="119969FD"/>
    <w:rsid w:val="12DA7F47"/>
    <w:rsid w:val="140838CE"/>
    <w:rsid w:val="15495747"/>
    <w:rsid w:val="169F7F6C"/>
    <w:rsid w:val="16BB723D"/>
    <w:rsid w:val="17012207"/>
    <w:rsid w:val="17347152"/>
    <w:rsid w:val="18015F3F"/>
    <w:rsid w:val="1BE8440E"/>
    <w:rsid w:val="1D155CEE"/>
    <w:rsid w:val="1EDF23EE"/>
    <w:rsid w:val="1F09253D"/>
    <w:rsid w:val="1F264A30"/>
    <w:rsid w:val="1F3C2D25"/>
    <w:rsid w:val="1F48610E"/>
    <w:rsid w:val="20F57F95"/>
    <w:rsid w:val="21F874A8"/>
    <w:rsid w:val="22AE0FC2"/>
    <w:rsid w:val="23A26E0A"/>
    <w:rsid w:val="23F04EB5"/>
    <w:rsid w:val="240371BF"/>
    <w:rsid w:val="25822B6C"/>
    <w:rsid w:val="2958574A"/>
    <w:rsid w:val="29FD04D3"/>
    <w:rsid w:val="2ABE7A3E"/>
    <w:rsid w:val="2BB77E49"/>
    <w:rsid w:val="2C073318"/>
    <w:rsid w:val="31763BB6"/>
    <w:rsid w:val="319F7F4E"/>
    <w:rsid w:val="31D27769"/>
    <w:rsid w:val="31DA4D72"/>
    <w:rsid w:val="32A867B8"/>
    <w:rsid w:val="32CF6A9F"/>
    <w:rsid w:val="33E83D36"/>
    <w:rsid w:val="344F0FE6"/>
    <w:rsid w:val="34EA590F"/>
    <w:rsid w:val="3723635B"/>
    <w:rsid w:val="37993387"/>
    <w:rsid w:val="37B84621"/>
    <w:rsid w:val="37FD3FA5"/>
    <w:rsid w:val="3A027035"/>
    <w:rsid w:val="3A473355"/>
    <w:rsid w:val="3B417882"/>
    <w:rsid w:val="3BC44313"/>
    <w:rsid w:val="3FB02917"/>
    <w:rsid w:val="403A1C8F"/>
    <w:rsid w:val="41AC1393"/>
    <w:rsid w:val="42EA6FAD"/>
    <w:rsid w:val="446037AC"/>
    <w:rsid w:val="45642699"/>
    <w:rsid w:val="4786386A"/>
    <w:rsid w:val="488C752F"/>
    <w:rsid w:val="48AE64A8"/>
    <w:rsid w:val="496F39ED"/>
    <w:rsid w:val="4BE068DB"/>
    <w:rsid w:val="4D7C3B24"/>
    <w:rsid w:val="4EB246BB"/>
    <w:rsid w:val="4ECE2238"/>
    <w:rsid w:val="4F01485C"/>
    <w:rsid w:val="4F2E2EF2"/>
    <w:rsid w:val="5016425E"/>
    <w:rsid w:val="536232BA"/>
    <w:rsid w:val="594F6321"/>
    <w:rsid w:val="5B2D6BBE"/>
    <w:rsid w:val="5B2E7856"/>
    <w:rsid w:val="5B8D44D0"/>
    <w:rsid w:val="5E407ACF"/>
    <w:rsid w:val="5ED634A9"/>
    <w:rsid w:val="602A5424"/>
    <w:rsid w:val="604A1623"/>
    <w:rsid w:val="60F86E8A"/>
    <w:rsid w:val="61C92456"/>
    <w:rsid w:val="620F3447"/>
    <w:rsid w:val="626409AC"/>
    <w:rsid w:val="668954EB"/>
    <w:rsid w:val="67E265E5"/>
    <w:rsid w:val="6B220B53"/>
    <w:rsid w:val="6B3D24B0"/>
    <w:rsid w:val="6B9B2829"/>
    <w:rsid w:val="6BE51B72"/>
    <w:rsid w:val="6C4A05C8"/>
    <w:rsid w:val="6C7B50CA"/>
    <w:rsid w:val="6D336429"/>
    <w:rsid w:val="6DB130E6"/>
    <w:rsid w:val="6E884C68"/>
    <w:rsid w:val="713C40BD"/>
    <w:rsid w:val="71645FD7"/>
    <w:rsid w:val="71723924"/>
    <w:rsid w:val="72734D90"/>
    <w:rsid w:val="72E3555B"/>
    <w:rsid w:val="740E5869"/>
    <w:rsid w:val="76470CCF"/>
    <w:rsid w:val="772C3C6F"/>
    <w:rsid w:val="77A51E44"/>
    <w:rsid w:val="7B9F4027"/>
    <w:rsid w:val="7C514F02"/>
    <w:rsid w:val="7D700A50"/>
    <w:rsid w:val="7DFE6218"/>
    <w:rsid w:val="7E894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5533"/>
    <w:pPr>
      <w:widowControl w:val="0"/>
      <w:jc w:val="both"/>
    </w:pPr>
    <w:rPr>
      <w:kern w:val="2"/>
      <w:sz w:val="21"/>
      <w:szCs w:val="24"/>
    </w:rPr>
  </w:style>
  <w:style w:type="paragraph" w:styleId="1">
    <w:name w:val="heading 1"/>
    <w:basedOn w:val="a"/>
    <w:next w:val="a"/>
    <w:link w:val="1Char"/>
    <w:uiPriority w:val="9"/>
    <w:qFormat/>
    <w:rsid w:val="006655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55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553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65533"/>
    <w:pPr>
      <w:spacing w:beforeLines="30"/>
    </w:pPr>
    <w:rPr>
      <w:rFonts w:ascii="仿宋_GB2312" w:eastAsia="仿宋_GB2312"/>
      <w:kern w:val="0"/>
      <w:sz w:val="30"/>
    </w:rPr>
  </w:style>
  <w:style w:type="paragraph" w:styleId="30">
    <w:name w:val="toc 3"/>
    <w:basedOn w:val="a"/>
    <w:next w:val="a"/>
    <w:uiPriority w:val="39"/>
    <w:unhideWhenUsed/>
    <w:qFormat/>
    <w:rsid w:val="00665533"/>
    <w:pPr>
      <w:tabs>
        <w:tab w:val="right" w:leader="dot" w:pos="8296"/>
      </w:tabs>
      <w:ind w:leftChars="400" w:left="840"/>
    </w:pPr>
  </w:style>
  <w:style w:type="paragraph" w:styleId="a4">
    <w:name w:val="Balloon Text"/>
    <w:basedOn w:val="a"/>
    <w:link w:val="Char0"/>
    <w:uiPriority w:val="99"/>
    <w:semiHidden/>
    <w:unhideWhenUsed/>
    <w:qFormat/>
    <w:rsid w:val="00665533"/>
    <w:rPr>
      <w:sz w:val="18"/>
      <w:szCs w:val="18"/>
    </w:rPr>
  </w:style>
  <w:style w:type="paragraph" w:styleId="a5">
    <w:name w:val="footer"/>
    <w:basedOn w:val="a"/>
    <w:link w:val="Char1"/>
    <w:uiPriority w:val="99"/>
    <w:qFormat/>
    <w:rsid w:val="00665533"/>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66553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6553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65533"/>
    <w:pPr>
      <w:tabs>
        <w:tab w:val="right" w:leader="dot" w:pos="8296"/>
      </w:tabs>
      <w:ind w:leftChars="200" w:left="420"/>
    </w:pPr>
  </w:style>
  <w:style w:type="character" w:styleId="a7">
    <w:name w:val="Strong"/>
    <w:basedOn w:val="a1"/>
    <w:uiPriority w:val="99"/>
    <w:qFormat/>
    <w:rsid w:val="00665533"/>
    <w:rPr>
      <w:b/>
    </w:rPr>
  </w:style>
  <w:style w:type="character" w:styleId="a8">
    <w:name w:val="Hyperlink"/>
    <w:basedOn w:val="a1"/>
    <w:uiPriority w:val="99"/>
    <w:unhideWhenUsed/>
    <w:qFormat/>
    <w:rsid w:val="00665533"/>
    <w:rPr>
      <w:color w:val="0000FF" w:themeColor="hyperlink"/>
      <w:u w:val="single"/>
    </w:rPr>
  </w:style>
  <w:style w:type="character" w:customStyle="1" w:styleId="HeaderChar">
    <w:name w:val="Header Char"/>
    <w:basedOn w:val="a1"/>
    <w:uiPriority w:val="99"/>
    <w:semiHidden/>
    <w:qFormat/>
    <w:rsid w:val="00665533"/>
    <w:rPr>
      <w:rFonts w:ascii="Times New Roman" w:hAnsi="Times New Roman"/>
      <w:sz w:val="18"/>
      <w:szCs w:val="18"/>
    </w:rPr>
  </w:style>
  <w:style w:type="character" w:customStyle="1" w:styleId="Char2">
    <w:name w:val="页眉 Char"/>
    <w:link w:val="a6"/>
    <w:uiPriority w:val="99"/>
    <w:semiHidden/>
    <w:qFormat/>
    <w:locked/>
    <w:rsid w:val="00665533"/>
    <w:rPr>
      <w:sz w:val="18"/>
    </w:rPr>
  </w:style>
  <w:style w:type="character" w:customStyle="1" w:styleId="FooterChar">
    <w:name w:val="Footer Char"/>
    <w:basedOn w:val="a1"/>
    <w:uiPriority w:val="99"/>
    <w:semiHidden/>
    <w:qFormat/>
    <w:rsid w:val="00665533"/>
    <w:rPr>
      <w:rFonts w:ascii="Times New Roman" w:hAnsi="Times New Roman"/>
      <w:sz w:val="18"/>
      <w:szCs w:val="18"/>
    </w:rPr>
  </w:style>
  <w:style w:type="character" w:customStyle="1" w:styleId="Char1">
    <w:name w:val="页脚 Char"/>
    <w:link w:val="a5"/>
    <w:uiPriority w:val="99"/>
    <w:qFormat/>
    <w:locked/>
    <w:rsid w:val="00665533"/>
    <w:rPr>
      <w:sz w:val="18"/>
    </w:rPr>
  </w:style>
  <w:style w:type="character" w:customStyle="1" w:styleId="BodyTextChar">
    <w:name w:val="Body Text Char"/>
    <w:basedOn w:val="a1"/>
    <w:uiPriority w:val="99"/>
    <w:semiHidden/>
    <w:qFormat/>
    <w:rsid w:val="00665533"/>
    <w:rPr>
      <w:rFonts w:ascii="Times New Roman" w:hAnsi="Times New Roman"/>
      <w:szCs w:val="24"/>
    </w:rPr>
  </w:style>
  <w:style w:type="character" w:customStyle="1" w:styleId="Char">
    <w:name w:val="正文文本 Char"/>
    <w:link w:val="a0"/>
    <w:uiPriority w:val="99"/>
    <w:qFormat/>
    <w:locked/>
    <w:rsid w:val="00665533"/>
    <w:rPr>
      <w:rFonts w:ascii="仿宋_GB2312" w:eastAsia="仿宋_GB2312" w:hAnsi="Times New Roman"/>
      <w:sz w:val="24"/>
    </w:rPr>
  </w:style>
  <w:style w:type="paragraph" w:customStyle="1" w:styleId="Default">
    <w:name w:val="Default"/>
    <w:uiPriority w:val="99"/>
    <w:qFormat/>
    <w:rsid w:val="00665533"/>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665533"/>
    <w:pPr>
      <w:ind w:firstLineChars="200" w:firstLine="420"/>
    </w:pPr>
  </w:style>
  <w:style w:type="character" w:customStyle="1" w:styleId="1Char">
    <w:name w:val="标题 1 Char"/>
    <w:basedOn w:val="a1"/>
    <w:link w:val="1"/>
    <w:uiPriority w:val="9"/>
    <w:qFormat/>
    <w:rsid w:val="00665533"/>
    <w:rPr>
      <w:rFonts w:ascii="Times New Roman" w:hAnsi="Times New Roman"/>
      <w:b/>
      <w:bCs/>
      <w:kern w:val="44"/>
      <w:sz w:val="44"/>
      <w:szCs w:val="44"/>
    </w:rPr>
  </w:style>
  <w:style w:type="character" w:customStyle="1" w:styleId="2Char">
    <w:name w:val="标题 2 Char"/>
    <w:basedOn w:val="a1"/>
    <w:link w:val="2"/>
    <w:uiPriority w:val="9"/>
    <w:qFormat/>
    <w:rsid w:val="0066553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6553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665533"/>
    <w:rPr>
      <w:rFonts w:ascii="Times New Roman" w:hAnsi="Times New Roman"/>
      <w:kern w:val="2"/>
      <w:sz w:val="18"/>
      <w:szCs w:val="18"/>
    </w:rPr>
  </w:style>
  <w:style w:type="character" w:customStyle="1" w:styleId="3Char">
    <w:name w:val="标题 3 Char"/>
    <w:basedOn w:val="a1"/>
    <w:link w:val="3"/>
    <w:uiPriority w:val="9"/>
    <w:qFormat/>
    <w:rsid w:val="00665533"/>
    <w:rPr>
      <w:rFonts w:ascii="Times New Roman" w:hAnsi="Times New Roman"/>
      <w:b/>
      <w:bCs/>
      <w:kern w:val="2"/>
      <w:sz w:val="32"/>
      <w:szCs w:val="32"/>
    </w:rPr>
  </w:style>
  <w:style w:type="paragraph" w:customStyle="1" w:styleId="TOC2">
    <w:name w:val="TOC 标题2"/>
    <w:basedOn w:val="1"/>
    <w:next w:val="a"/>
    <w:uiPriority w:val="39"/>
    <w:unhideWhenUsed/>
    <w:qFormat/>
    <w:rsid w:val="0066553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a:t>
            </a:r>
            <a:r>
              <a:t>收、支决算总计变动情况图</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1342.1399999999999</c:v>
                </c:pt>
              </c:numCache>
            </c:numRef>
          </c:val>
        </c:ser>
        <c:ser>
          <c:idx val="1"/>
          <c:order val="1"/>
          <c:tx>
            <c:strRef>
              <c:f>Sheet1!$C$1</c:f>
              <c:strCache>
                <c:ptCount val="1"/>
                <c:pt idx="0">
                  <c:v>2020年</c:v>
                </c:pt>
              </c:strCache>
            </c:strRef>
          </c:tx>
          <c:spPr>
            <a:solidFill>
              <a:schemeClr val="accent2"/>
            </a:solidFill>
            <a:ln>
              <a:noFill/>
            </a:ln>
            <a:effectLst/>
          </c:spPr>
          <c:dLbls>
            <c:dLbl>
              <c:idx val="0"/>
              <c:layout>
                <c:manualLayout>
                  <c:x val="9.3750000000000083E-3"/>
                  <c:y val="1.5000000000000006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1294.23</c:v>
                </c:pt>
              </c:numCache>
            </c:numRef>
          </c:val>
        </c:ser>
        <c:gapWidth val="219"/>
        <c:overlap val="-27"/>
        <c:axId val="241517696"/>
        <c:axId val="241520000"/>
      </c:barChart>
      <c:catAx>
        <c:axId val="2415176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20000"/>
        <c:crosses val="autoZero"/>
        <c:auto val="1"/>
        <c:lblAlgn val="ctr"/>
        <c:lblOffset val="100"/>
      </c:catAx>
      <c:valAx>
        <c:axId val="241520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1769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spPr>
        <a:noFill/>
        <a:ln>
          <a:noFill/>
        </a:ln>
        <a:effectLst/>
      </c:spPr>
    </c:title>
    <c:plotArea>
      <c:layout/>
      <c:pieChart>
        <c:varyColors val="1"/>
        <c:ser>
          <c:idx val="0"/>
          <c:order val="0"/>
          <c:tx>
            <c:strRef>
              <c:f>Sheet1!$B$1</c:f>
              <c:strCache>
                <c:ptCount val="1"/>
                <c:pt idx="0">
                  <c:v>列1</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一般公共预算财政拨款收入1292.70万元</c:v>
                </c:pt>
                <c:pt idx="1">
                  <c:v>其他收入1.53万元</c:v>
                </c:pt>
              </c:strCache>
            </c:strRef>
          </c:cat>
          <c:val>
            <c:numRef>
              <c:f>Sheet1!$B$2:$B$5</c:f>
              <c:numCache>
                <c:formatCode>0.00%</c:formatCode>
                <c:ptCount val="4"/>
                <c:pt idx="0">
                  <c:v>0.99880000000000002</c:v>
                </c:pt>
                <c:pt idx="1">
                  <c:v>1.2000000000000003E-3</c:v>
                </c:pt>
              </c:numCache>
            </c:numRef>
          </c:val>
        </c:ser>
        <c:firstSliceAng val="0"/>
      </c:pieChart>
      <c:spPr>
        <a:noFill/>
        <a:ln>
          <a:noFill/>
        </a:ln>
        <a:effectLst/>
      </c:spPr>
    </c:plotArea>
    <c:legend>
      <c:legendPos val="b"/>
      <c:legendEntry>
        <c:idx val="2"/>
        <c:delete val="1"/>
      </c:legendEntry>
      <c:legendEntry>
        <c:idx val="3"/>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a:t>
            </a:r>
            <a:r>
              <a:t>支出决算结构图</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基本支出1212.23万元</c:v>
                </c:pt>
                <c:pt idx="1">
                  <c:v>项目支出82.00万元</c:v>
                </c:pt>
              </c:strCache>
            </c:strRef>
          </c:cat>
          <c:val>
            <c:numRef>
              <c:f>Sheet1!$B$2:$B$3</c:f>
              <c:numCache>
                <c:formatCode>0.00%</c:formatCode>
                <c:ptCount val="2"/>
                <c:pt idx="0">
                  <c:v>0.93660000000000032</c:v>
                </c:pt>
                <c:pt idx="1">
                  <c:v>6.3400000000000012E-2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a:t>
            </a:r>
            <a:r>
              <a:t>财政拨款收、支决算总计变动情况图</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1338.45</c:v>
                </c:pt>
              </c:numCache>
            </c:numRef>
          </c:val>
        </c:ser>
        <c:ser>
          <c:idx val="1"/>
          <c:order val="1"/>
          <c:tx>
            <c:strRef>
              <c:f>Sheet1!$C$1</c:f>
              <c:strCache>
                <c:ptCount val="1"/>
                <c:pt idx="0">
                  <c:v>2020年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1292.7</c:v>
                </c:pt>
              </c:numCache>
            </c:numRef>
          </c:val>
        </c:ser>
        <c:gapWidth val="219"/>
        <c:overlap val="-27"/>
        <c:axId val="241596288"/>
        <c:axId val="241597824"/>
      </c:barChart>
      <c:catAx>
        <c:axId val="241596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97824"/>
        <c:crosses val="autoZero"/>
        <c:auto val="1"/>
        <c:lblAlgn val="ctr"/>
        <c:lblOffset val="100"/>
      </c:catAx>
      <c:valAx>
        <c:axId val="241597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962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5</a:t>
            </a:r>
            <a:r>
              <a:rPr altLang="en-US"/>
              <a:t>：</a:t>
            </a:r>
            <a:r>
              <a:t>一般公共预算财政拨款支出决算变动情况表</a:t>
            </a:r>
          </a:p>
        </c:rich>
      </c:tx>
      <c:spPr>
        <a:noFill/>
        <a:ln>
          <a:noFill/>
        </a:ln>
        <a:effectLst/>
      </c:spPr>
    </c:title>
    <c:plotArea>
      <c:layout/>
      <c:barChart>
        <c:barDir val="col"/>
        <c:grouping val="clustered"/>
        <c:ser>
          <c:idx val="0"/>
          <c:order val="0"/>
          <c:tx>
            <c:strRef>
              <c:f>Sheet1!$B$1</c:f>
              <c:strCache>
                <c:ptCount val="1"/>
                <c:pt idx="0">
                  <c:v>2019年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1338.45</c:v>
                </c:pt>
              </c:numCache>
            </c:numRef>
          </c:val>
        </c:ser>
        <c:ser>
          <c:idx val="1"/>
          <c:order val="1"/>
          <c:tx>
            <c:strRef>
              <c:f>Sheet1!$C$1</c:f>
              <c:strCache>
                <c:ptCount val="1"/>
                <c:pt idx="0">
                  <c:v>2020年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1292.7</c:v>
                </c:pt>
              </c:numCache>
            </c:numRef>
          </c:val>
        </c:ser>
        <c:gapWidth val="219"/>
        <c:overlap val="-27"/>
        <c:axId val="241513216"/>
        <c:axId val="241514752"/>
      </c:barChart>
      <c:catAx>
        <c:axId val="241513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14752"/>
        <c:crosses val="autoZero"/>
        <c:auto val="1"/>
        <c:lblAlgn val="ctr"/>
        <c:lblOffset val="100"/>
      </c:catAx>
      <c:valAx>
        <c:axId val="241514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151321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图</a:t>
            </a:r>
            <a:r>
              <a:rPr lang="en-US" altLang="zh-CN"/>
              <a:t>6</a:t>
            </a:r>
            <a:r>
              <a:rPr altLang="en-US"/>
              <a:t>：</a:t>
            </a:r>
            <a:r>
              <a:rPr altLang="zh-CN"/>
              <a:t>一般公共预算财政拨款支出决算结构图</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dLblPos val="bestFit"/>
              <c:showVal val="1"/>
              <c:extLst>
                <c:ext xmlns:c15="http://schemas.microsoft.com/office/drawing/2012/chart" uri="{CE6537A1-D6FC-4f65-9D91-7224C49458BB}"/>
              </c:extLst>
            </c:dLbl>
            <c:dLbl>
              <c:idx val="1"/>
              <c:dLblPos val="bestFit"/>
              <c:showVal val="1"/>
              <c:extLst>
                <c:ext xmlns:c15="http://schemas.microsoft.com/office/drawing/2012/chart" uri="{CE6537A1-D6FC-4f65-9D91-7224C49458BB}"/>
              </c:extLst>
            </c:dLbl>
            <c:dLbl>
              <c:idx val="2"/>
              <c:dLblPos val="bestFit"/>
              <c:showVal val="1"/>
              <c:extLst>
                <c:ext xmlns:c15="http://schemas.microsoft.com/office/drawing/2012/chart" uri="{CE6537A1-D6FC-4f65-9D91-7224C49458BB}"/>
              </c:extLst>
            </c:dLbl>
            <c:dLbl>
              <c:idx val="3"/>
              <c:dLblPos val="bestFit"/>
              <c:showVal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社会保险和就业支出369.36万元</c:v>
                </c:pt>
                <c:pt idx="1">
                  <c:v>卫生健康支出70.82万元</c:v>
                </c:pt>
                <c:pt idx="2">
                  <c:v>资源勘探工业信息等支出780.86万元</c:v>
                </c:pt>
                <c:pt idx="3">
                  <c:v>住房保障支出71.66万元</c:v>
                </c:pt>
              </c:strCache>
            </c:strRef>
          </c:cat>
          <c:val>
            <c:numRef>
              <c:f>Sheet1!$B$2:$B$5</c:f>
              <c:numCache>
                <c:formatCode>0.00%</c:formatCode>
                <c:ptCount val="4"/>
                <c:pt idx="0">
                  <c:v>0.28570000000000001</c:v>
                </c:pt>
                <c:pt idx="1">
                  <c:v>5.4800000000000029E-2</c:v>
                </c:pt>
                <c:pt idx="2">
                  <c:v>0.6041000000000003</c:v>
                </c:pt>
                <c:pt idx="3">
                  <c:v>5.5400000000000019E-2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857</Words>
  <Characters>4891</Characters>
  <Application>Microsoft Office Word</Application>
  <DocSecurity>0</DocSecurity>
  <Lines>40</Lines>
  <Paragraphs>11</Paragraphs>
  <ScaleCrop>false</ScaleCrop>
  <Company>四川省财政厅</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杨国英</cp:lastModifiedBy>
  <cp:revision>38</cp:revision>
  <cp:lastPrinted>2022-09-23T01:28:00Z</cp:lastPrinted>
  <dcterms:created xsi:type="dcterms:W3CDTF">2020-08-04T01:49:00Z</dcterms:created>
  <dcterms:modified xsi:type="dcterms:W3CDTF">2022-11-11T04:13:00Z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D14CF15F136E41F782C91F9A78597816</vt:lpwstr>
  </property>
</Properties>
</file>