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charts/chart6.xml" ContentType="application/vnd.openxmlformats-officedocument.drawingml.chart+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249" w:rsidRDefault="002A6249">
      <w:pPr>
        <w:spacing w:line="600" w:lineRule="exact"/>
        <w:jc w:val="center"/>
        <w:outlineLvl w:val="0"/>
        <w:rPr>
          <w:rFonts w:ascii="方正小标宋简体" w:eastAsia="方正小标宋简体" w:hAnsi="宋体"/>
          <w:sz w:val="72"/>
          <w:szCs w:val="72"/>
        </w:rPr>
      </w:pPr>
      <w:bookmarkStart w:id="0" w:name="_Toc15306267"/>
    </w:p>
    <w:p w:rsidR="002A6249" w:rsidRDefault="002A6249">
      <w:pPr>
        <w:spacing w:line="600" w:lineRule="exact"/>
        <w:jc w:val="center"/>
        <w:outlineLvl w:val="0"/>
        <w:rPr>
          <w:rFonts w:ascii="方正小标宋简体" w:eastAsia="方正小标宋简体" w:hAnsi="宋体"/>
          <w:sz w:val="72"/>
          <w:szCs w:val="72"/>
        </w:rPr>
      </w:pPr>
    </w:p>
    <w:p w:rsidR="002A6249" w:rsidRDefault="002A6249">
      <w:pPr>
        <w:spacing w:line="600" w:lineRule="exact"/>
        <w:jc w:val="center"/>
        <w:outlineLvl w:val="0"/>
        <w:rPr>
          <w:rFonts w:ascii="方正小标宋简体" w:eastAsia="方正小标宋简体" w:hAnsi="宋体"/>
          <w:sz w:val="72"/>
          <w:szCs w:val="72"/>
        </w:rPr>
      </w:pPr>
    </w:p>
    <w:p w:rsidR="002A6249" w:rsidRDefault="002A6249">
      <w:pPr>
        <w:spacing w:line="600" w:lineRule="exact"/>
        <w:jc w:val="center"/>
        <w:outlineLvl w:val="0"/>
        <w:rPr>
          <w:rFonts w:ascii="方正小标宋简体" w:eastAsia="方正小标宋简体" w:hAnsi="宋体"/>
          <w:sz w:val="72"/>
          <w:szCs w:val="72"/>
        </w:rPr>
      </w:pPr>
    </w:p>
    <w:p w:rsidR="002A6249" w:rsidRDefault="000A7648">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1" w:name="_Toc15396597"/>
      <w:bookmarkStart w:id="2" w:name="_Toc15378441"/>
      <w:bookmarkStart w:id="3" w:name="_Toc15377193"/>
      <w:bookmarkStart w:id="4" w:name="_Toc15377425"/>
      <w:bookmarkStart w:id="5" w:name="_Toc15396475"/>
      <w:r>
        <w:rPr>
          <w:rFonts w:ascii="方正小标宋简体" w:eastAsia="方正小标宋简体" w:hAnsi="方正小标宋简体" w:cs="方正小标宋简体" w:hint="eastAsia"/>
          <w:sz w:val="52"/>
          <w:szCs w:val="52"/>
        </w:rPr>
        <w:t>2021年度</w:t>
      </w:r>
      <w:bookmarkEnd w:id="1"/>
      <w:bookmarkEnd w:id="2"/>
      <w:bookmarkEnd w:id="3"/>
      <w:bookmarkEnd w:id="4"/>
      <w:bookmarkEnd w:id="5"/>
    </w:p>
    <w:p w:rsidR="002A6249" w:rsidRDefault="000A7648">
      <w:pPr>
        <w:adjustRightInd w:val="0"/>
        <w:snapToGrid w:val="0"/>
        <w:spacing w:line="360" w:lineRule="auto"/>
        <w:jc w:val="center"/>
        <w:outlineLvl w:val="0"/>
        <w:rPr>
          <w:rFonts w:ascii="方正小标宋简体" w:eastAsia="方正小标宋简体" w:hAnsi="方正小标宋简体" w:cs="方正小标宋简体"/>
          <w:sz w:val="52"/>
          <w:szCs w:val="52"/>
        </w:rPr>
      </w:pPr>
      <w:bookmarkStart w:id="6" w:name="_Toc15396598"/>
      <w:bookmarkStart w:id="7" w:name="_Toc15377194"/>
      <w:bookmarkStart w:id="8" w:name="_Toc15378442"/>
      <w:bookmarkStart w:id="9" w:name="_Toc15377426"/>
      <w:bookmarkStart w:id="10" w:name="_Toc15396476"/>
      <w:r>
        <w:rPr>
          <w:rFonts w:ascii="方正小标宋简体" w:eastAsia="方正小标宋简体" w:hAnsi="方正小标宋简体" w:cs="方正小标宋简体" w:hint="eastAsia"/>
          <w:sz w:val="52"/>
          <w:szCs w:val="52"/>
        </w:rPr>
        <w:t>四川省</w:t>
      </w:r>
      <w:bookmarkStart w:id="11" w:name="_Toc15306268"/>
      <w:bookmarkEnd w:id="0"/>
      <w:r>
        <w:rPr>
          <w:rFonts w:ascii="方正小标宋简体" w:eastAsia="方正小标宋简体" w:hAnsi="方正小标宋简体" w:cs="方正小标宋简体" w:hint="eastAsia"/>
          <w:sz w:val="52"/>
          <w:szCs w:val="52"/>
        </w:rPr>
        <w:t>地质矿产勘查开发局一0二厂单位决算</w:t>
      </w:r>
      <w:bookmarkEnd w:id="6"/>
      <w:bookmarkEnd w:id="7"/>
      <w:bookmarkEnd w:id="8"/>
      <w:bookmarkEnd w:id="9"/>
      <w:bookmarkEnd w:id="10"/>
      <w:bookmarkEnd w:id="11"/>
    </w:p>
    <w:p w:rsidR="002A6249" w:rsidRDefault="000A7648">
      <w:pPr>
        <w:widowControl/>
        <w:jc w:val="center"/>
        <w:rPr>
          <w:rFonts w:ascii="黑体" w:eastAsia="黑体" w:hAnsi="黑体"/>
          <w:sz w:val="48"/>
          <w:szCs w:val="48"/>
        </w:rPr>
      </w:pPr>
      <w:r>
        <w:rPr>
          <w:rFonts w:ascii="方正小标宋简体" w:eastAsia="方正小标宋简体" w:hAnsi="宋体"/>
          <w:sz w:val="36"/>
          <w:szCs w:val="36"/>
        </w:rPr>
        <w:br w:type="page"/>
      </w:r>
      <w:r>
        <w:rPr>
          <w:rFonts w:ascii="黑体" w:eastAsia="黑体" w:hAnsi="黑体" w:hint="eastAsia"/>
          <w:sz w:val="48"/>
          <w:szCs w:val="48"/>
        </w:rPr>
        <w:lastRenderedPageBreak/>
        <w:t>目录</w:t>
      </w:r>
    </w:p>
    <w:p w:rsidR="002A6249" w:rsidRDefault="002A6249">
      <w:pPr>
        <w:widowControl/>
        <w:jc w:val="center"/>
        <w:rPr>
          <w:rFonts w:ascii="黑体" w:eastAsia="黑体" w:hAnsi="黑体" w:cstheme="minorBidi"/>
          <w:sz w:val="28"/>
          <w:szCs w:val="28"/>
        </w:rPr>
      </w:pPr>
    </w:p>
    <w:p w:rsidR="002A6249" w:rsidRDefault="000A7648">
      <w:pPr>
        <w:pStyle w:val="10"/>
      </w:pPr>
      <w:r>
        <w:rPr>
          <w:rFonts w:hint="eastAsia"/>
        </w:rPr>
        <w:t>公开时间：2022年9月9日</w:t>
      </w:r>
    </w:p>
    <w:p w:rsidR="002A6249" w:rsidRDefault="002A6249"/>
    <w:p w:rsidR="002A6249" w:rsidRDefault="000A7648">
      <w:pPr>
        <w:pStyle w:val="10"/>
        <w:adjustRightInd w:val="0"/>
        <w:snapToGrid w:val="0"/>
        <w:spacing w:before="0" w:line="440" w:lineRule="exact"/>
        <w:jc w:val="left"/>
        <w:rPr>
          <w:rFonts w:cstheme="minorBidi"/>
          <w:sz w:val="24"/>
          <w:szCs w:val="24"/>
        </w:rPr>
      </w:pPr>
      <w:r>
        <w:rPr>
          <w:rFonts w:hint="eastAsia"/>
          <w:sz w:val="24"/>
        </w:rPr>
        <w:t>第一部分</w:t>
      </w:r>
      <w:r>
        <w:rPr>
          <w:sz w:val="24"/>
        </w:rPr>
        <w:t xml:space="preserve"> </w:t>
      </w:r>
      <w:r>
        <w:rPr>
          <w:rFonts w:hint="eastAsia"/>
          <w:sz w:val="24"/>
        </w:rPr>
        <w:t>单位概况</w:t>
      </w:r>
    </w:p>
    <w:p w:rsidR="002A6249" w:rsidRDefault="000A7648">
      <w:pPr>
        <w:pStyle w:val="20"/>
        <w:adjustRightInd w:val="0"/>
        <w:snapToGrid w:val="0"/>
        <w:spacing w:line="440" w:lineRule="exact"/>
        <w:jc w:val="left"/>
        <w:rPr>
          <w:sz w:val="24"/>
        </w:rPr>
      </w:pPr>
      <w:r>
        <w:rPr>
          <w:rFonts w:hint="eastAsia"/>
          <w:sz w:val="24"/>
        </w:rPr>
        <w:t>一、职能简介</w:t>
      </w:r>
      <w:r>
        <w:rPr>
          <w:rFonts w:asciiTheme="minorEastAsia" w:eastAsiaTheme="minorEastAsia" w:hAnsiTheme="minorEastAsia" w:cstheme="minorEastAsia" w:hint="eastAsia"/>
          <w:sz w:val="24"/>
        </w:rPr>
        <w:t>...........................................1</w:t>
      </w:r>
    </w:p>
    <w:p w:rsidR="002A6249" w:rsidRDefault="000A7648">
      <w:pPr>
        <w:pStyle w:val="20"/>
        <w:adjustRightInd w:val="0"/>
        <w:snapToGrid w:val="0"/>
        <w:spacing w:line="440" w:lineRule="exact"/>
        <w:jc w:val="left"/>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二、2021年重点工作完成情况............................1-2</w:t>
      </w:r>
    </w:p>
    <w:p w:rsidR="009113EC" w:rsidRPr="009113EC" w:rsidRDefault="009113EC" w:rsidP="009113EC">
      <w:pPr>
        <w:ind w:firstLineChars="200" w:firstLine="420"/>
      </w:pPr>
      <w:r>
        <w:rPr>
          <w:rFonts w:hint="eastAsia"/>
        </w:rPr>
        <w:t>三、机构设置情况</w:t>
      </w:r>
      <w:r>
        <w:t>…………………………………………………………</w:t>
      </w:r>
      <w:r>
        <w:rPr>
          <w:rFonts w:hint="eastAsia"/>
        </w:rPr>
        <w:t xml:space="preserve">   </w:t>
      </w:r>
      <w:r w:rsidR="002600D2">
        <w:rPr>
          <w:rFonts w:hint="eastAsia"/>
        </w:rPr>
        <w:t>2</w:t>
      </w:r>
    </w:p>
    <w:p w:rsidR="002A6249" w:rsidRDefault="000A7648">
      <w:pPr>
        <w:pStyle w:val="10"/>
        <w:adjustRightInd w:val="0"/>
        <w:snapToGrid w:val="0"/>
        <w:spacing w:before="0" w:line="440" w:lineRule="exact"/>
        <w:jc w:val="left"/>
        <w:rPr>
          <w:sz w:val="24"/>
          <w:szCs w:val="24"/>
        </w:rPr>
      </w:pPr>
      <w:r>
        <w:rPr>
          <w:rFonts w:hint="eastAsia"/>
          <w:sz w:val="24"/>
        </w:rPr>
        <w:t>第二部分 2021年度单位决算情况说明</w:t>
      </w:r>
    </w:p>
    <w:p w:rsidR="002A6249" w:rsidRDefault="000A7648">
      <w:pPr>
        <w:pStyle w:val="20"/>
        <w:adjustRightInd w:val="0"/>
        <w:snapToGrid w:val="0"/>
        <w:spacing w:line="440" w:lineRule="exact"/>
        <w:jc w:val="left"/>
        <w:rPr>
          <w:rFonts w:asciiTheme="minorEastAsia" w:hAnsiTheme="minorEastAsia" w:cstheme="minorEastAsia"/>
          <w:sz w:val="24"/>
        </w:rPr>
      </w:pPr>
      <w:r>
        <w:rPr>
          <w:rFonts w:hint="eastAsia"/>
          <w:sz w:val="24"/>
        </w:rPr>
        <w:t>一、收入支出决算总体情况说明</w:t>
      </w:r>
      <w:r>
        <w:rPr>
          <w:rFonts w:asciiTheme="minorEastAsia" w:eastAsiaTheme="minorEastAsia" w:hAnsiTheme="minorEastAsia" w:cstheme="minorEastAsia" w:hint="eastAsia"/>
          <w:sz w:val="24"/>
        </w:rPr>
        <w:t>...........................3</w:t>
      </w:r>
    </w:p>
    <w:p w:rsidR="002A6249" w:rsidRDefault="000A7648">
      <w:pPr>
        <w:pStyle w:val="20"/>
        <w:adjustRightInd w:val="0"/>
        <w:snapToGrid w:val="0"/>
        <w:spacing w:line="440" w:lineRule="exact"/>
        <w:jc w:val="left"/>
        <w:rPr>
          <w:rFonts w:ascii="仿宋" w:hAnsi="仿宋" w:cstheme="minorBidi"/>
          <w:sz w:val="24"/>
        </w:rPr>
      </w:pPr>
      <w:r>
        <w:rPr>
          <w:rFonts w:hint="eastAsia"/>
          <w:sz w:val="24"/>
        </w:rPr>
        <w:t>二、收入决算情况说明</w:t>
      </w:r>
      <w:r>
        <w:rPr>
          <w:rFonts w:asciiTheme="minorEastAsia" w:eastAsiaTheme="minorEastAsia" w:hAnsiTheme="minorEastAsia" w:cstheme="minorEastAsia" w:hint="eastAsia"/>
          <w:sz w:val="24"/>
        </w:rPr>
        <w:t>...................................</w:t>
      </w:r>
      <w:r>
        <w:rPr>
          <w:rFonts w:asciiTheme="minorEastAsia" w:eastAsiaTheme="minorEastAsia" w:hAnsiTheme="minorEastAsia" w:cstheme="minorEastAsia"/>
          <w:sz w:val="24"/>
        </w:rPr>
        <w:t>3-</w:t>
      </w:r>
      <w:r>
        <w:rPr>
          <w:rFonts w:asciiTheme="minorEastAsia" w:eastAsiaTheme="minorEastAsia" w:hAnsiTheme="minorEastAsia" w:cstheme="minorEastAsia" w:hint="eastAsia"/>
          <w:sz w:val="24"/>
        </w:rPr>
        <w:t>4</w:t>
      </w:r>
    </w:p>
    <w:p w:rsidR="002A6249" w:rsidRDefault="000A7648">
      <w:pPr>
        <w:pStyle w:val="20"/>
        <w:adjustRightInd w:val="0"/>
        <w:snapToGrid w:val="0"/>
        <w:spacing w:line="440" w:lineRule="exact"/>
        <w:jc w:val="left"/>
        <w:rPr>
          <w:rFonts w:ascii="仿宋" w:hAnsi="仿宋" w:cstheme="minorBidi"/>
          <w:sz w:val="24"/>
        </w:rPr>
      </w:pPr>
      <w:r>
        <w:rPr>
          <w:rFonts w:hint="eastAsia"/>
          <w:sz w:val="24"/>
        </w:rPr>
        <w:t>三、支出决算情况说明</w:t>
      </w:r>
      <w:r>
        <w:rPr>
          <w:rFonts w:asciiTheme="minorEastAsia" w:eastAsiaTheme="minorEastAsia" w:hAnsiTheme="minorEastAsia" w:cstheme="minorEastAsia" w:hint="eastAsia"/>
          <w:sz w:val="24"/>
        </w:rPr>
        <w:t>...................................4-5</w:t>
      </w:r>
    </w:p>
    <w:p w:rsidR="002A6249" w:rsidRDefault="000A7648">
      <w:pPr>
        <w:pStyle w:val="20"/>
        <w:adjustRightInd w:val="0"/>
        <w:snapToGrid w:val="0"/>
        <w:spacing w:line="440" w:lineRule="exact"/>
        <w:jc w:val="left"/>
        <w:rPr>
          <w:rFonts w:ascii="仿宋" w:hAnsi="仿宋" w:cstheme="minorBidi"/>
          <w:sz w:val="24"/>
        </w:rPr>
      </w:pPr>
      <w:r>
        <w:rPr>
          <w:rFonts w:hint="eastAsia"/>
          <w:sz w:val="24"/>
        </w:rPr>
        <w:t>四、财政拨款收入支出决算总体情况说明</w:t>
      </w:r>
      <w:r>
        <w:rPr>
          <w:rFonts w:asciiTheme="minorEastAsia" w:eastAsiaTheme="minorEastAsia" w:hAnsiTheme="minorEastAsia" w:cstheme="minorEastAsia" w:hint="eastAsia"/>
          <w:sz w:val="24"/>
        </w:rPr>
        <w:t>...................5-6</w:t>
      </w:r>
    </w:p>
    <w:p w:rsidR="002A6249" w:rsidRDefault="000A7648">
      <w:pPr>
        <w:pStyle w:val="20"/>
        <w:adjustRightInd w:val="0"/>
        <w:snapToGrid w:val="0"/>
        <w:spacing w:line="440" w:lineRule="exact"/>
        <w:jc w:val="left"/>
        <w:rPr>
          <w:rFonts w:ascii="仿宋" w:hAnsi="仿宋" w:cstheme="minorBidi"/>
          <w:sz w:val="24"/>
        </w:rPr>
      </w:pPr>
      <w:r>
        <w:rPr>
          <w:rFonts w:hint="eastAsia"/>
          <w:sz w:val="24"/>
        </w:rPr>
        <w:t>五、一般公共预算财政拨款支出决算情况说明</w:t>
      </w:r>
      <w:r>
        <w:rPr>
          <w:rFonts w:asciiTheme="minorEastAsia" w:eastAsiaTheme="minorEastAsia" w:hAnsiTheme="minorEastAsia" w:cstheme="minorEastAsia" w:hint="eastAsia"/>
          <w:sz w:val="24"/>
        </w:rPr>
        <w:t>...............6-9</w:t>
      </w:r>
    </w:p>
    <w:p w:rsidR="002A6249" w:rsidRDefault="000A7648">
      <w:pPr>
        <w:pStyle w:val="20"/>
        <w:adjustRightInd w:val="0"/>
        <w:snapToGrid w:val="0"/>
        <w:spacing w:line="440" w:lineRule="exact"/>
        <w:jc w:val="left"/>
        <w:rPr>
          <w:rFonts w:ascii="仿宋" w:hAnsi="仿宋" w:cstheme="minorBidi"/>
          <w:sz w:val="24"/>
        </w:rPr>
      </w:pPr>
      <w:r>
        <w:rPr>
          <w:rFonts w:hint="eastAsia"/>
          <w:sz w:val="24"/>
        </w:rPr>
        <w:t>六、一般公共预算财政拨款基本支出决算情况说明</w:t>
      </w:r>
      <w:r>
        <w:rPr>
          <w:rFonts w:asciiTheme="minorEastAsia" w:eastAsiaTheme="minorEastAsia" w:hAnsiTheme="minorEastAsia" w:cstheme="minorEastAsia" w:hint="eastAsia"/>
          <w:sz w:val="24"/>
        </w:rPr>
        <w:t>...........9-10</w:t>
      </w:r>
    </w:p>
    <w:p w:rsidR="002A6249" w:rsidRDefault="000A7648">
      <w:pPr>
        <w:pStyle w:val="20"/>
        <w:adjustRightInd w:val="0"/>
        <w:snapToGrid w:val="0"/>
        <w:spacing w:line="440" w:lineRule="exact"/>
        <w:jc w:val="left"/>
        <w:rPr>
          <w:rFonts w:ascii="仿宋" w:hAnsi="仿宋" w:cstheme="minorBidi"/>
          <w:sz w:val="24"/>
        </w:rPr>
      </w:pPr>
      <w:r>
        <w:rPr>
          <w:rFonts w:hint="eastAsia"/>
          <w:sz w:val="24"/>
        </w:rPr>
        <w:t>七、“三公”经费财政拨款支出决算情况说明</w:t>
      </w:r>
      <w:r>
        <w:rPr>
          <w:rFonts w:asciiTheme="minorEastAsia" w:eastAsiaTheme="minorEastAsia" w:hAnsiTheme="minorEastAsia" w:cstheme="minorEastAsia" w:hint="eastAsia"/>
          <w:sz w:val="24"/>
        </w:rPr>
        <w:t>................10</w:t>
      </w:r>
    </w:p>
    <w:p w:rsidR="002A6249" w:rsidRDefault="000A7648">
      <w:pPr>
        <w:pStyle w:val="20"/>
        <w:adjustRightInd w:val="0"/>
        <w:snapToGrid w:val="0"/>
        <w:spacing w:line="440" w:lineRule="exact"/>
        <w:jc w:val="left"/>
        <w:rPr>
          <w:rFonts w:ascii="仿宋" w:hAnsi="仿宋" w:cstheme="minorBidi"/>
          <w:sz w:val="24"/>
        </w:rPr>
      </w:pPr>
      <w:r>
        <w:rPr>
          <w:rFonts w:hint="eastAsia"/>
          <w:sz w:val="24"/>
        </w:rPr>
        <w:t>八、政府性基金预算支出决算情况说明</w:t>
      </w:r>
      <w:r>
        <w:rPr>
          <w:rFonts w:asciiTheme="minorEastAsia" w:eastAsiaTheme="minorEastAsia" w:hAnsiTheme="minorEastAsia" w:cstheme="minorEastAsia" w:hint="eastAsia"/>
          <w:sz w:val="24"/>
        </w:rPr>
        <w:t>.....................10</w:t>
      </w:r>
    </w:p>
    <w:p w:rsidR="002A6249" w:rsidRDefault="000A7648">
      <w:pPr>
        <w:pStyle w:val="20"/>
        <w:adjustRightInd w:val="0"/>
        <w:snapToGrid w:val="0"/>
        <w:spacing w:line="440" w:lineRule="exact"/>
        <w:jc w:val="left"/>
        <w:rPr>
          <w:sz w:val="24"/>
        </w:rPr>
      </w:pPr>
      <w:r>
        <w:rPr>
          <w:rFonts w:hint="eastAsia"/>
          <w:sz w:val="24"/>
        </w:rPr>
        <w:t>九、国有资本经营预算支出决算情况说明</w:t>
      </w:r>
      <w:r>
        <w:rPr>
          <w:rFonts w:asciiTheme="minorEastAsia" w:eastAsiaTheme="minorEastAsia" w:hAnsiTheme="minorEastAsia" w:cstheme="minorEastAsia" w:hint="eastAsia"/>
          <w:sz w:val="24"/>
        </w:rPr>
        <w:t>...................10</w:t>
      </w:r>
    </w:p>
    <w:p w:rsidR="002A6249" w:rsidRDefault="000A7648">
      <w:pPr>
        <w:pStyle w:val="20"/>
        <w:adjustRightInd w:val="0"/>
        <w:snapToGrid w:val="0"/>
        <w:spacing w:line="440" w:lineRule="exact"/>
        <w:jc w:val="left"/>
        <w:rPr>
          <w:sz w:val="24"/>
        </w:rPr>
      </w:pPr>
      <w:r>
        <w:rPr>
          <w:rFonts w:hint="eastAsia"/>
          <w:sz w:val="24"/>
        </w:rPr>
        <w:t>十、其他重要事项的情况说明</w:t>
      </w:r>
      <w:r>
        <w:rPr>
          <w:rFonts w:asciiTheme="minorEastAsia" w:eastAsiaTheme="minorEastAsia" w:hAnsiTheme="minorEastAsia" w:cstheme="minorEastAsia" w:hint="eastAsia"/>
          <w:sz w:val="24"/>
        </w:rPr>
        <w:t>.............................10-11</w:t>
      </w:r>
    </w:p>
    <w:p w:rsidR="002A6249" w:rsidRDefault="000A7648">
      <w:pPr>
        <w:pStyle w:val="10"/>
        <w:adjustRightInd w:val="0"/>
        <w:snapToGrid w:val="0"/>
        <w:spacing w:before="0" w:line="440" w:lineRule="exact"/>
        <w:jc w:val="left"/>
        <w:rPr>
          <w:rFonts w:cstheme="minorBidi"/>
          <w:sz w:val="24"/>
          <w:szCs w:val="24"/>
        </w:rPr>
      </w:pPr>
      <w:r>
        <w:rPr>
          <w:rFonts w:hint="eastAsia"/>
          <w:sz w:val="24"/>
        </w:rPr>
        <w:t>第三部分</w:t>
      </w:r>
      <w:r>
        <w:rPr>
          <w:sz w:val="24"/>
        </w:rPr>
        <w:t xml:space="preserve"> </w:t>
      </w:r>
      <w:r>
        <w:rPr>
          <w:rFonts w:hint="eastAsia"/>
          <w:sz w:val="24"/>
        </w:rPr>
        <w:t>名词解释.........................................</w:t>
      </w:r>
      <w:r>
        <w:rPr>
          <w:rFonts w:asciiTheme="minorEastAsia" w:eastAsiaTheme="minorEastAsia" w:hAnsiTheme="minorEastAsia" w:cstheme="minorEastAsia" w:hint="eastAsia"/>
          <w:sz w:val="24"/>
        </w:rPr>
        <w:t>12-14</w:t>
      </w:r>
    </w:p>
    <w:p w:rsidR="002A6249" w:rsidRDefault="000A7648">
      <w:pPr>
        <w:pStyle w:val="10"/>
        <w:adjustRightInd w:val="0"/>
        <w:snapToGrid w:val="0"/>
        <w:spacing w:before="0" w:line="440" w:lineRule="exact"/>
        <w:jc w:val="left"/>
        <w:rPr>
          <w:rFonts w:cstheme="minorBidi"/>
          <w:sz w:val="24"/>
          <w:szCs w:val="24"/>
        </w:rPr>
      </w:pPr>
      <w:r>
        <w:rPr>
          <w:rFonts w:hint="eastAsia"/>
          <w:sz w:val="24"/>
        </w:rPr>
        <w:t>第四部分</w:t>
      </w:r>
      <w:r>
        <w:rPr>
          <w:sz w:val="24"/>
        </w:rPr>
        <w:t xml:space="preserve"> </w:t>
      </w:r>
      <w:r>
        <w:rPr>
          <w:rFonts w:hint="eastAsia"/>
          <w:sz w:val="24"/>
        </w:rPr>
        <w:t>附表.............................................</w:t>
      </w:r>
      <w:r>
        <w:rPr>
          <w:rFonts w:asciiTheme="minorEastAsia" w:eastAsiaTheme="minorEastAsia" w:hAnsiTheme="minorEastAsia" w:cstheme="minorEastAsia" w:hint="eastAsia"/>
          <w:sz w:val="24"/>
        </w:rPr>
        <w:t>15</w:t>
      </w:r>
    </w:p>
    <w:p w:rsidR="002A6249" w:rsidRDefault="000A7648">
      <w:pPr>
        <w:pStyle w:val="20"/>
        <w:adjustRightInd w:val="0"/>
        <w:snapToGrid w:val="0"/>
        <w:spacing w:line="440" w:lineRule="exact"/>
        <w:jc w:val="left"/>
        <w:rPr>
          <w:sz w:val="24"/>
        </w:rPr>
      </w:pPr>
      <w:r>
        <w:rPr>
          <w:rFonts w:hint="eastAsia"/>
          <w:sz w:val="24"/>
        </w:rPr>
        <w:t>一、收入支出决算总表</w:t>
      </w:r>
    </w:p>
    <w:p w:rsidR="002A6249" w:rsidRDefault="000A7648">
      <w:pPr>
        <w:pStyle w:val="20"/>
        <w:adjustRightInd w:val="0"/>
        <w:snapToGrid w:val="0"/>
        <w:spacing w:line="440" w:lineRule="exact"/>
        <w:jc w:val="left"/>
        <w:rPr>
          <w:sz w:val="24"/>
        </w:rPr>
      </w:pPr>
      <w:r>
        <w:rPr>
          <w:rFonts w:hint="eastAsia"/>
          <w:sz w:val="24"/>
        </w:rPr>
        <w:t>二、收入决算表</w:t>
      </w:r>
    </w:p>
    <w:p w:rsidR="002A6249" w:rsidRDefault="000A7648">
      <w:pPr>
        <w:pStyle w:val="20"/>
        <w:adjustRightInd w:val="0"/>
        <w:snapToGrid w:val="0"/>
        <w:spacing w:line="440" w:lineRule="exact"/>
        <w:jc w:val="left"/>
        <w:rPr>
          <w:sz w:val="24"/>
        </w:rPr>
      </w:pPr>
      <w:r>
        <w:rPr>
          <w:rFonts w:hint="eastAsia"/>
          <w:sz w:val="24"/>
        </w:rPr>
        <w:t>三、支出决算表</w:t>
      </w:r>
    </w:p>
    <w:p w:rsidR="002A6249" w:rsidRDefault="000A7648">
      <w:pPr>
        <w:pStyle w:val="20"/>
        <w:adjustRightInd w:val="0"/>
        <w:snapToGrid w:val="0"/>
        <w:spacing w:line="440" w:lineRule="exact"/>
        <w:jc w:val="left"/>
        <w:rPr>
          <w:sz w:val="24"/>
        </w:rPr>
      </w:pPr>
      <w:r>
        <w:rPr>
          <w:rFonts w:hint="eastAsia"/>
          <w:sz w:val="24"/>
        </w:rPr>
        <w:t>四、财政拨款收入支出决算总表</w:t>
      </w:r>
    </w:p>
    <w:p w:rsidR="002A6249" w:rsidRDefault="000A7648">
      <w:pPr>
        <w:pStyle w:val="20"/>
        <w:adjustRightInd w:val="0"/>
        <w:snapToGrid w:val="0"/>
        <w:spacing w:line="440" w:lineRule="exact"/>
        <w:jc w:val="left"/>
        <w:rPr>
          <w:sz w:val="24"/>
        </w:rPr>
      </w:pPr>
      <w:r>
        <w:rPr>
          <w:rFonts w:hint="eastAsia"/>
          <w:sz w:val="24"/>
        </w:rPr>
        <w:t>五、财政拨款支出决算明细表</w:t>
      </w:r>
    </w:p>
    <w:p w:rsidR="002A6249" w:rsidRDefault="000A7648">
      <w:pPr>
        <w:pStyle w:val="20"/>
        <w:adjustRightInd w:val="0"/>
        <w:snapToGrid w:val="0"/>
        <w:spacing w:line="440" w:lineRule="exact"/>
        <w:jc w:val="left"/>
        <w:rPr>
          <w:sz w:val="24"/>
        </w:rPr>
      </w:pPr>
      <w:r>
        <w:rPr>
          <w:rFonts w:hint="eastAsia"/>
          <w:sz w:val="24"/>
        </w:rPr>
        <w:t>六、一般公共预算财政拨款支出决算表</w:t>
      </w:r>
    </w:p>
    <w:p w:rsidR="002A6249" w:rsidRDefault="000A7648">
      <w:pPr>
        <w:pStyle w:val="20"/>
        <w:adjustRightInd w:val="0"/>
        <w:snapToGrid w:val="0"/>
        <w:spacing w:line="440" w:lineRule="exact"/>
        <w:jc w:val="left"/>
        <w:rPr>
          <w:sz w:val="24"/>
        </w:rPr>
      </w:pPr>
      <w:r>
        <w:rPr>
          <w:rFonts w:hint="eastAsia"/>
          <w:sz w:val="24"/>
        </w:rPr>
        <w:t>七、一般公共预算财政拨款支出决算明细表</w:t>
      </w:r>
    </w:p>
    <w:p w:rsidR="002A6249" w:rsidRDefault="000A7648">
      <w:pPr>
        <w:pStyle w:val="20"/>
        <w:adjustRightInd w:val="0"/>
        <w:snapToGrid w:val="0"/>
        <w:spacing w:line="440" w:lineRule="exact"/>
        <w:jc w:val="left"/>
        <w:rPr>
          <w:sz w:val="24"/>
        </w:rPr>
      </w:pPr>
      <w:r>
        <w:rPr>
          <w:rFonts w:hint="eastAsia"/>
          <w:sz w:val="24"/>
        </w:rPr>
        <w:t>八、一般公共预算财政拨款基本支出决算表</w:t>
      </w:r>
    </w:p>
    <w:p w:rsidR="002A6249" w:rsidRDefault="000A7648">
      <w:pPr>
        <w:pStyle w:val="20"/>
        <w:adjustRightInd w:val="0"/>
        <w:snapToGrid w:val="0"/>
        <w:spacing w:line="440" w:lineRule="exact"/>
        <w:jc w:val="left"/>
        <w:rPr>
          <w:sz w:val="24"/>
        </w:rPr>
      </w:pPr>
      <w:r>
        <w:rPr>
          <w:rFonts w:hint="eastAsia"/>
          <w:sz w:val="24"/>
        </w:rPr>
        <w:t>九、一般公共预算财政拨款项目支出决算表</w:t>
      </w:r>
    </w:p>
    <w:p w:rsidR="002A6249" w:rsidRDefault="000A7648">
      <w:pPr>
        <w:pStyle w:val="20"/>
        <w:adjustRightInd w:val="0"/>
        <w:snapToGrid w:val="0"/>
        <w:spacing w:line="440" w:lineRule="exact"/>
        <w:jc w:val="left"/>
        <w:rPr>
          <w:sz w:val="24"/>
        </w:rPr>
      </w:pPr>
      <w:r>
        <w:rPr>
          <w:rFonts w:hint="eastAsia"/>
          <w:sz w:val="24"/>
        </w:rPr>
        <w:lastRenderedPageBreak/>
        <w:t>十、一般公共预算财政拨款“三公”经费支出决算表</w:t>
      </w:r>
    </w:p>
    <w:p w:rsidR="002A6249" w:rsidRDefault="000A7648">
      <w:pPr>
        <w:pStyle w:val="20"/>
        <w:adjustRightInd w:val="0"/>
        <w:snapToGrid w:val="0"/>
        <w:spacing w:line="440" w:lineRule="exact"/>
        <w:jc w:val="left"/>
        <w:rPr>
          <w:sz w:val="24"/>
        </w:rPr>
      </w:pPr>
      <w:r>
        <w:rPr>
          <w:rFonts w:hint="eastAsia"/>
          <w:sz w:val="24"/>
        </w:rPr>
        <w:t>十一、政府性基金预算财政拨款收入支出决算表</w:t>
      </w:r>
    </w:p>
    <w:p w:rsidR="002A6249" w:rsidRDefault="000A7648">
      <w:pPr>
        <w:pStyle w:val="20"/>
        <w:adjustRightInd w:val="0"/>
        <w:snapToGrid w:val="0"/>
        <w:spacing w:line="440" w:lineRule="exact"/>
        <w:jc w:val="left"/>
        <w:rPr>
          <w:sz w:val="24"/>
        </w:rPr>
      </w:pPr>
      <w:r>
        <w:rPr>
          <w:rFonts w:hint="eastAsia"/>
          <w:sz w:val="24"/>
        </w:rPr>
        <w:t>十二、政府性基金预算财政拨款“三公”经费支出决算表</w:t>
      </w:r>
    </w:p>
    <w:p w:rsidR="002A6249" w:rsidRDefault="000A7648">
      <w:pPr>
        <w:pStyle w:val="20"/>
        <w:adjustRightInd w:val="0"/>
        <w:snapToGrid w:val="0"/>
        <w:spacing w:line="440" w:lineRule="exact"/>
        <w:jc w:val="left"/>
        <w:rPr>
          <w:sz w:val="24"/>
        </w:rPr>
      </w:pPr>
      <w:r>
        <w:rPr>
          <w:rFonts w:hint="eastAsia"/>
          <w:sz w:val="24"/>
        </w:rPr>
        <w:t>十三、国有资本经营预算财政拨款收入支出决算表</w:t>
      </w:r>
    </w:p>
    <w:p w:rsidR="002A6249" w:rsidRDefault="000A7648">
      <w:pPr>
        <w:pStyle w:val="20"/>
        <w:adjustRightInd w:val="0"/>
        <w:snapToGrid w:val="0"/>
        <w:spacing w:line="440" w:lineRule="exact"/>
        <w:jc w:val="left"/>
        <w:rPr>
          <w:sz w:val="24"/>
        </w:rPr>
      </w:pPr>
      <w:r>
        <w:rPr>
          <w:rFonts w:hint="eastAsia"/>
          <w:sz w:val="24"/>
        </w:rPr>
        <w:t>十四、国有资本经营预算财政拨款支出决算表</w:t>
      </w:r>
    </w:p>
    <w:p w:rsidR="002A6249" w:rsidRDefault="000A7648">
      <w:pPr>
        <w:widowControl/>
        <w:spacing w:line="440" w:lineRule="exact"/>
        <w:jc w:val="left"/>
        <w:rPr>
          <w:rFonts w:ascii="仿宋" w:eastAsia="仿宋" w:hAnsi="仿宋"/>
          <w:b/>
          <w:sz w:val="24"/>
        </w:rPr>
        <w:sectPr w:rsidR="002A6249">
          <w:headerReference w:type="default" r:id="rId8"/>
          <w:footerReference w:type="default" r:id="rId9"/>
          <w:headerReference w:type="first" r:id="rId10"/>
          <w:footerReference w:type="first" r:id="rId11"/>
          <w:pgSz w:w="11906" w:h="16838"/>
          <w:pgMar w:top="1440" w:right="1800" w:bottom="1440" w:left="1800" w:header="851" w:footer="992" w:gutter="0"/>
          <w:pgNumType w:start="1"/>
          <w:cols w:space="425"/>
          <w:docGrid w:type="lines" w:linePitch="312"/>
        </w:sectPr>
      </w:pPr>
      <w:bookmarkStart w:id="12" w:name="_Toc15396599"/>
      <w:bookmarkStart w:id="13" w:name="_Toc15377196"/>
      <w:r>
        <w:rPr>
          <w:rFonts w:ascii="仿宋" w:eastAsia="仿宋" w:hAnsi="仿宋"/>
          <w:b/>
          <w:sz w:val="24"/>
        </w:rPr>
        <w:br w:type="page"/>
      </w:r>
    </w:p>
    <w:p w:rsidR="002A6249" w:rsidRDefault="002A6249" w:rsidP="002A6249">
      <w:pPr>
        <w:pStyle w:val="a0"/>
        <w:spacing w:before="93"/>
      </w:pPr>
    </w:p>
    <w:p w:rsidR="002A6249" w:rsidRDefault="000A7648">
      <w:pPr>
        <w:pStyle w:val="1"/>
        <w:jc w:val="center"/>
        <w:rPr>
          <w:rStyle w:val="1Char"/>
          <w:rFonts w:ascii="黑体" w:eastAsia="黑体" w:hAnsi="黑体"/>
          <w:b/>
        </w:rPr>
      </w:pPr>
      <w:r>
        <w:rPr>
          <w:rFonts w:ascii="黑体" w:eastAsia="黑体" w:hAnsi="黑体" w:hint="eastAsia"/>
          <w:b w:val="0"/>
        </w:rPr>
        <w:t>第一部分 单位</w:t>
      </w:r>
      <w:r>
        <w:rPr>
          <w:rStyle w:val="1Char"/>
          <w:rFonts w:ascii="黑体" w:eastAsia="黑体" w:hAnsi="黑体" w:hint="eastAsia"/>
        </w:rPr>
        <w:t>概况</w:t>
      </w:r>
      <w:bookmarkEnd w:id="12"/>
      <w:bookmarkEnd w:id="13"/>
    </w:p>
    <w:p w:rsidR="002A6249" w:rsidRDefault="002A6249">
      <w:pPr>
        <w:widowControl/>
        <w:jc w:val="left"/>
        <w:rPr>
          <w:rFonts w:ascii="黑体" w:eastAsia="黑体"/>
          <w:sz w:val="32"/>
          <w:szCs w:val="32"/>
        </w:rPr>
      </w:pPr>
    </w:p>
    <w:p w:rsidR="002A6249" w:rsidRDefault="000A7648">
      <w:pPr>
        <w:pStyle w:val="2"/>
        <w:rPr>
          <w:rStyle w:val="2Char"/>
          <w:rFonts w:ascii="黑体" w:eastAsia="黑体" w:hAnsi="黑体"/>
        </w:rPr>
      </w:pPr>
      <w:bookmarkStart w:id="14" w:name="_Toc15396600"/>
      <w:bookmarkStart w:id="15" w:name="_Toc15377197"/>
      <w:r>
        <w:rPr>
          <w:rStyle w:val="2Char"/>
          <w:rFonts w:ascii="黑体" w:eastAsia="黑体" w:hAnsi="黑体" w:hint="eastAsia"/>
        </w:rPr>
        <w:t>一、职能简介</w:t>
      </w:r>
    </w:p>
    <w:p w:rsidR="002A6249" w:rsidRDefault="000A7648">
      <w:pPr>
        <w:spacing w:line="560" w:lineRule="exact"/>
        <w:ind w:firstLineChars="200" w:firstLine="640"/>
        <w:rPr>
          <w:rFonts w:ascii="仿宋" w:eastAsia="仿宋" w:hAnsi="仿宋" w:cs="仿宋_GB2312"/>
          <w:kern w:val="0"/>
          <w:sz w:val="32"/>
          <w:szCs w:val="32"/>
        </w:rPr>
      </w:pPr>
      <w:r>
        <w:rPr>
          <w:rFonts w:ascii="仿宋" w:eastAsia="仿宋" w:hAnsi="仿宋" w:cs="仿宋_GB2312" w:hint="eastAsia"/>
          <w:kern w:val="0"/>
          <w:sz w:val="32"/>
          <w:szCs w:val="32"/>
        </w:rPr>
        <w:t>四川省地质矿产勘查开发局一0二厂系核定收支、定额补助，提供专业技术服务的事业单位。有1个独立编制机构和1个独立核算机构。</w:t>
      </w:r>
    </w:p>
    <w:p w:rsidR="002A6249" w:rsidRDefault="000A7648">
      <w:pPr>
        <w:spacing w:line="560" w:lineRule="exact"/>
        <w:ind w:firstLineChars="200" w:firstLine="640"/>
        <w:rPr>
          <w:rFonts w:ascii="仿宋" w:eastAsia="仿宋" w:hAnsi="仿宋"/>
          <w:sz w:val="32"/>
          <w:szCs w:val="32"/>
        </w:rPr>
      </w:pPr>
      <w:r>
        <w:rPr>
          <w:rFonts w:ascii="仿宋" w:eastAsia="仿宋" w:hAnsi="仿宋" w:hint="eastAsia"/>
          <w:sz w:val="32"/>
          <w:szCs w:val="32"/>
        </w:rPr>
        <w:t>主要从事地质钻探工具的修理修配，在为地质野外队服务的同时，也从事打捞工具配件、选矿设备、机械加工以及防腐、防水工程和汽车修理等业务。</w:t>
      </w:r>
    </w:p>
    <w:p w:rsidR="002A6249" w:rsidRDefault="000A7648">
      <w:pPr>
        <w:pStyle w:val="2"/>
        <w:rPr>
          <w:rFonts w:ascii="黑体" w:eastAsia="黑体" w:hAnsi="黑体"/>
          <w:b w:val="0"/>
        </w:rPr>
      </w:pPr>
      <w:r>
        <w:rPr>
          <w:rFonts w:ascii="黑体" w:eastAsia="黑体" w:hAnsi="黑体" w:hint="eastAsia"/>
          <w:b w:val="0"/>
        </w:rPr>
        <w:t>二、2021年重点工作完成情况</w:t>
      </w:r>
    </w:p>
    <w:p w:rsidR="002A6249" w:rsidRDefault="000A7648">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积极开拓选矿设备市场，扩大合同量。在现有的生产设备和人员基础上，努力闯市场、抓合同、通过增加职工收入达到稳定职工队伍目的。</w:t>
      </w:r>
    </w:p>
    <w:p w:rsidR="002A6249" w:rsidRDefault="000A7648">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继续做好棚户区改造建房一期工程的收尾工作，督促施工方完成规划核实、消防验收等工作；积极推进我厂棚户区改造二期建设项目，加大厂区、生活区环境整治力度，推进和谐小区构建工作。</w:t>
      </w:r>
    </w:p>
    <w:p w:rsidR="002A6249" w:rsidRDefault="000A764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积极稳妥推进土地开发。充分利用我厂面临的发展机遇，推动存量土地的开发利用，努力打造新的经济增长点，助推</w:t>
      </w:r>
      <w:r>
        <w:rPr>
          <w:rFonts w:ascii="仿宋" w:eastAsia="仿宋" w:hAnsi="仿宋" w:hint="eastAsia"/>
          <w:color w:val="000000"/>
          <w:sz w:val="32"/>
          <w:szCs w:val="32"/>
        </w:rPr>
        <w:lastRenderedPageBreak/>
        <w:t>攀西阳光康养度假基地建设开新局。</w:t>
      </w:r>
    </w:p>
    <w:p w:rsidR="002A6249" w:rsidRDefault="000A7648">
      <w:pPr>
        <w:spacing w:line="560" w:lineRule="exact"/>
        <w:ind w:firstLineChars="200" w:firstLine="640"/>
        <w:rPr>
          <w:rFonts w:ascii="仿宋" w:eastAsia="仿宋" w:hAnsi="仿宋"/>
          <w:color w:val="000000"/>
          <w:sz w:val="32"/>
          <w:szCs w:val="32"/>
        </w:rPr>
      </w:pPr>
      <w:r>
        <w:rPr>
          <w:rFonts w:ascii="仿宋" w:eastAsia="仿宋" w:hAnsi="仿宋" w:hint="eastAsia"/>
          <w:color w:val="000000"/>
          <w:sz w:val="32"/>
          <w:szCs w:val="32"/>
        </w:rPr>
        <w:t>继续做好疫情防控工作，确保抗疫取得最终胜利。</w:t>
      </w:r>
    </w:p>
    <w:p w:rsidR="002A6249" w:rsidRDefault="000A7648">
      <w:pPr>
        <w:spacing w:line="560" w:lineRule="exact"/>
        <w:ind w:firstLineChars="200" w:firstLine="640"/>
        <w:rPr>
          <w:rFonts w:ascii="仿宋" w:eastAsia="仿宋" w:hAnsi="仿宋" w:cs="仿宋"/>
          <w:color w:val="000000"/>
          <w:sz w:val="32"/>
          <w:szCs w:val="32"/>
        </w:rPr>
      </w:pPr>
      <w:r>
        <w:rPr>
          <w:rFonts w:ascii="仿宋" w:eastAsia="仿宋" w:hAnsi="仿宋" w:cs="仿宋" w:hint="eastAsia"/>
          <w:color w:val="000000"/>
          <w:sz w:val="32"/>
          <w:szCs w:val="32"/>
        </w:rPr>
        <w:t>继续加强内部审计监督工作，加大制度建设力度。</w:t>
      </w:r>
    </w:p>
    <w:p w:rsidR="002A6249" w:rsidRDefault="002A6249" w:rsidP="002A6249">
      <w:pPr>
        <w:pStyle w:val="a0"/>
        <w:spacing w:before="93"/>
      </w:pPr>
    </w:p>
    <w:p w:rsidR="002A6249" w:rsidRPr="00BF6028" w:rsidRDefault="009113EC" w:rsidP="002A6249">
      <w:pPr>
        <w:pStyle w:val="a0"/>
        <w:spacing w:before="93"/>
        <w:rPr>
          <w:rFonts w:ascii="黑体" w:eastAsia="黑体" w:hAnsi="黑体"/>
          <w:sz w:val="32"/>
          <w:szCs w:val="32"/>
        </w:rPr>
      </w:pPr>
      <w:r w:rsidRPr="00BF6028">
        <w:rPr>
          <w:rFonts w:ascii="黑体" w:eastAsia="黑体" w:hAnsi="黑体" w:hint="eastAsia"/>
          <w:sz w:val="32"/>
          <w:szCs w:val="32"/>
        </w:rPr>
        <w:t>三、机构设置情况</w:t>
      </w:r>
    </w:p>
    <w:p w:rsidR="009113EC" w:rsidRDefault="00FD564E" w:rsidP="002A6249">
      <w:pPr>
        <w:pStyle w:val="a0"/>
        <w:spacing w:before="93"/>
      </w:pPr>
      <w:r>
        <w:rPr>
          <w:rFonts w:ascii="仿宋" w:eastAsia="仿宋" w:hAnsi="仿宋" w:cs="仿宋_GB2312" w:hint="eastAsia"/>
          <w:sz w:val="32"/>
          <w:szCs w:val="32"/>
        </w:rPr>
        <w:t>四川省地质矿产勘查开发局一0二厂</w:t>
      </w:r>
      <w:r w:rsidR="009113EC">
        <w:rPr>
          <w:rFonts w:hint="eastAsia"/>
        </w:rPr>
        <w:t>由</w:t>
      </w:r>
      <w:r>
        <w:rPr>
          <w:rFonts w:hint="eastAsia"/>
        </w:rPr>
        <w:t>1</w:t>
      </w:r>
      <w:r w:rsidR="008D7ED7">
        <w:rPr>
          <w:rFonts w:hint="eastAsia"/>
        </w:rPr>
        <w:t>2</w:t>
      </w:r>
      <w:r w:rsidR="009113EC">
        <w:rPr>
          <w:rFonts w:hint="eastAsia"/>
        </w:rPr>
        <w:t>个科室组成，分别是：办公室、党办、财务科、</w:t>
      </w:r>
      <w:r>
        <w:rPr>
          <w:rFonts w:hint="eastAsia"/>
        </w:rPr>
        <w:t>劳人科、离退休科、</w:t>
      </w:r>
      <w:r w:rsidR="009113EC">
        <w:rPr>
          <w:rFonts w:hint="eastAsia"/>
        </w:rPr>
        <w:t>技术科、物业所、技安科、审计科、</w:t>
      </w:r>
      <w:r w:rsidR="008D7ED7">
        <w:rPr>
          <w:rFonts w:hint="eastAsia"/>
        </w:rPr>
        <w:t>企管办、</w:t>
      </w:r>
      <w:r w:rsidR="009113EC">
        <w:rPr>
          <w:rFonts w:hint="eastAsia"/>
        </w:rPr>
        <w:t>销售处、纪检监察</w:t>
      </w:r>
      <w:r>
        <w:rPr>
          <w:rFonts w:hint="eastAsia"/>
        </w:rPr>
        <w:t>。</w:t>
      </w: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2A6249" w:rsidP="002A6249">
      <w:pPr>
        <w:pStyle w:val="a0"/>
        <w:spacing w:before="93"/>
      </w:pPr>
    </w:p>
    <w:p w:rsidR="002A6249" w:rsidRDefault="000A7648">
      <w:pPr>
        <w:pStyle w:val="1"/>
        <w:ind w:right="440"/>
        <w:rPr>
          <w:rStyle w:val="1Char"/>
          <w:rFonts w:ascii="黑体" w:eastAsia="黑体" w:hAnsi="黑体"/>
          <w:bCs/>
        </w:rPr>
      </w:pPr>
      <w:bookmarkStart w:id="16" w:name="_Toc15377204"/>
      <w:bookmarkStart w:id="17" w:name="_Toc15396602"/>
      <w:bookmarkEnd w:id="14"/>
      <w:bookmarkEnd w:id="15"/>
      <w:r>
        <w:rPr>
          <w:rFonts w:ascii="黑体" w:eastAsia="黑体" w:hAnsi="黑体" w:hint="eastAsia"/>
          <w:b w:val="0"/>
        </w:rPr>
        <w:lastRenderedPageBreak/>
        <w:t>第二部分 2021年度</w:t>
      </w:r>
      <w:r>
        <w:rPr>
          <w:rStyle w:val="1Char"/>
          <w:rFonts w:ascii="黑体" w:eastAsia="黑体" w:hAnsi="黑体" w:hint="eastAsia"/>
          <w:bCs/>
        </w:rPr>
        <w:t>单位决算情况说明</w:t>
      </w:r>
      <w:bookmarkEnd w:id="16"/>
      <w:bookmarkEnd w:id="17"/>
    </w:p>
    <w:p w:rsidR="002A6249" w:rsidRDefault="002A6249"/>
    <w:p w:rsidR="002A6249" w:rsidRDefault="000A7648">
      <w:pPr>
        <w:pStyle w:val="a9"/>
        <w:spacing w:line="600" w:lineRule="exact"/>
        <w:ind w:left="640" w:firstLineChars="0" w:firstLine="0"/>
        <w:outlineLvl w:val="1"/>
        <w:rPr>
          <w:rStyle w:val="2Char"/>
          <w:rFonts w:ascii="黑体" w:eastAsia="黑体" w:hAnsi="黑体"/>
          <w:b w:val="0"/>
        </w:rPr>
      </w:pPr>
      <w:bookmarkStart w:id="18" w:name="_Toc15396603"/>
      <w:bookmarkStart w:id="19" w:name="_Toc15377205"/>
      <w:r>
        <w:rPr>
          <w:rFonts w:ascii="黑体" w:eastAsia="黑体" w:hAnsi="黑体" w:hint="eastAsia"/>
          <w:sz w:val="32"/>
          <w:szCs w:val="32"/>
        </w:rPr>
        <w:t>一、收</w:t>
      </w:r>
      <w:r>
        <w:rPr>
          <w:rStyle w:val="2Char"/>
          <w:rFonts w:ascii="黑体" w:eastAsia="黑体" w:hAnsi="黑体" w:hint="eastAsia"/>
          <w:b w:val="0"/>
        </w:rPr>
        <w:t>入支出决算总体情况说明</w:t>
      </w:r>
      <w:bookmarkEnd w:id="18"/>
      <w:bookmarkEnd w:id="19"/>
    </w:p>
    <w:p w:rsidR="002A6249" w:rsidRDefault="000A7648">
      <w:pPr>
        <w:spacing w:line="600" w:lineRule="exact"/>
        <w:ind w:firstLineChars="200" w:firstLine="640"/>
        <w:rPr>
          <w:rFonts w:ascii="仿宋" w:eastAsia="仿宋" w:hAnsi="仿宋"/>
          <w:sz w:val="32"/>
          <w:szCs w:val="32"/>
        </w:rPr>
      </w:pPr>
      <w:r>
        <w:rPr>
          <w:rFonts w:ascii="仿宋" w:eastAsia="仿宋" w:hAnsi="仿宋" w:hint="eastAsia"/>
          <w:sz w:val="32"/>
          <w:szCs w:val="32"/>
        </w:rPr>
        <w:t>2021年度收、支总计1634.76万元。与2020年相比，收入增加340.53万元，增长26.31%、支出增加340.53万元，增长26.31%。主要变动原因是提高退休人员一次性生活补助标准。</w:t>
      </w:r>
    </w:p>
    <w:p w:rsidR="002A6249" w:rsidRDefault="000A7648">
      <w:pPr>
        <w:spacing w:line="600" w:lineRule="exact"/>
        <w:jc w:val="center"/>
        <w:rPr>
          <w:rFonts w:ascii="仿宋" w:eastAsia="仿宋" w:hAnsi="仿宋"/>
          <w:sz w:val="32"/>
          <w:szCs w:val="32"/>
        </w:rPr>
      </w:pPr>
      <w:r>
        <w:rPr>
          <w:rFonts w:ascii="仿宋" w:eastAsia="仿宋" w:hAnsi="仿宋" w:hint="eastAsia"/>
          <w:sz w:val="32"/>
          <w:szCs w:val="32"/>
        </w:rPr>
        <w:t>（图</w:t>
      </w:r>
      <w:r>
        <w:rPr>
          <w:rFonts w:ascii="仿宋" w:eastAsia="仿宋" w:hAnsi="仿宋"/>
          <w:sz w:val="32"/>
          <w:szCs w:val="32"/>
        </w:rPr>
        <w:t>1</w:t>
      </w:r>
      <w:r>
        <w:rPr>
          <w:rFonts w:ascii="仿宋" w:eastAsia="仿宋" w:hAnsi="仿宋" w:hint="eastAsia"/>
          <w:sz w:val="32"/>
          <w:szCs w:val="32"/>
        </w:rPr>
        <w:t>：收、支决算总计变动情况图）（柱状图）</w:t>
      </w:r>
    </w:p>
    <w:p w:rsidR="002A6249" w:rsidRDefault="00C61F39" w:rsidP="002A6249">
      <w:pPr>
        <w:pStyle w:val="a0"/>
        <w:spacing w:before="93"/>
        <w:rPr>
          <w:rFonts w:eastAsia="仿宋"/>
        </w:rPr>
      </w:pPr>
      <w:r w:rsidRPr="00C61F39">
        <w:pict>
          <v:shapetype id="_x0000_t202" coordsize="21600,21600" o:spt="202" path="m,l,21600r21600,l21600,xe">
            <v:stroke joinstyle="miter"/>
            <v:path gradientshapeok="t" o:connecttype="rect"/>
          </v:shapetype>
          <v:shape id="_x0000_s1026" type="#_x0000_t202" style="position:absolute;left:0;text-align:left;margin-left:315.65pt;margin-top:26.9pt;width:1in;height:21.85pt;z-index:251659264" o:gfxdata="UEsDBAoAAAAAAIdO4kAAAAAAAAAAAAAAAAAEAAAAZHJzL1BLAwQUAAAACACHTuJAJMJ/QtYAAAAJ&#10;AQAADwAAAGRycy9kb3ducmV2LnhtbE2PwU7DMAyG70i8Q2QkbiztorZQmk4CCQlxY/TCLWu8tiJx&#10;qiZbx9tjTnC0/en39ze7i3fijEucAmnINxkIpD7YiQYN3cfL3T2ImAxZ4wKhhm+MsGuvrxpT27DS&#10;O573aRAcQrE2GsaU5lrK2I/oTdyEGYlvx7B4k3hcBmkXs3K4d3KbZaX0ZiL+MJoZn0fsv/Ynr+G1&#10;fEqf2Nk3q7YqrJ3sl6OLWt/e5NkjiISX9AfDrz6rQ8tOh3AiG4XTUKpcMaqhUFyBgaoqeHHQ8FAV&#10;INtG/m/Q/gBQSwMEFAAAAAgAh07iQGO8bZ1jAgAAwgQAAA4AAABkcnMvZTJvRG9jLnhtbK1UwW7b&#10;MAy9D9g/CLqvjtO4WYM6RdYiw4BiLdANOyuyHAuTRE1SYncfsP7BTrvsvu/qd4ySnTZtd+hhOSiU&#10;+PBIPpI+Oe20IlvhvART0vxgRIkwHCpp1iX9/Gn55i0lPjBTMQVGlPRGeHo6f/3qpLUzMYYGVCUc&#10;QRLjZ60taROCnWWZ543QzB+AFQadNTjNAl7dOqsca5Fdq2w8Gh1lLbjKOuDCe3w97510YHQvIYS6&#10;llycA99oYULP6oRiAUvyjbSezlO2dS14uKxrLwJRJcVKQzoxCNqreGbzEzZbO2YbyYcU2EtSeFKT&#10;ZtJg0HuqcxYY2Tj5jEpL7sBDHQ446KwvJCmCVeSjJ9pcN8yKVAtK7e296P7/0fKP2ytHZFXSMSWG&#10;aWz43c/bu19/7n7/IOMoT2v9DFHXFnGhewcdDs3u3eNjrLqrnY7/WA9Bf5EX+bQoKLkp6aQ4zA+P&#10;BqFFFwhHwHE+mYywBRwB4+l0clxExuyByDof3gvQJBolddjHJC/bXvjQQ3eQGNeDktVSKpUubr06&#10;U45sGfZ8mX4D+yOYMqQt6dFhMUrMj3yR+55ipRj/+pwBs1UGk4769DpEK3SrbhBtBdUNauagHzpv&#10;+VIi7wXz4Yo5nDIUAPcwXOJRK8BkYLAoacB9/9d7xGPz0UtJi1NbUv9tw5ygRH0wOBZJWBzzdJkU&#10;0zHGcPue1b7HbPQZoEg5brzlyYz4oHZm7UB/wXVdxKjoYoZj7JKGnXkW+l3CdedisUggHGzLwoW5&#10;tjxSx5YYWGwC1DK1LsrUazOoh6Odmj+sYdyd/XtCPXx65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MJ/QtYAAAAJAQAADwAAAAAAAAABACAAAAAiAAAAZHJzL2Rvd25yZXYueG1sUEsBAhQAFAAA&#10;AAgAh07iQGO8bZ1jAgAAwgQAAA4AAAAAAAAAAQAgAAAAJQEAAGRycy9lMm9Eb2MueG1sUEsFBgAA&#10;AAAGAAYAWQEAAPoFAAAAAA==&#10;" fillcolor="white [3201]" strokeweight=".5pt">
            <v:stroke joinstyle="round"/>
            <v:textbox>
              <w:txbxContent>
                <w:p w:rsidR="002A6249" w:rsidRDefault="000A7648">
                  <w:r>
                    <w:rPr>
                      <w:rFonts w:hint="eastAsia"/>
                    </w:rPr>
                    <w:t>单位：万元</w:t>
                  </w:r>
                </w:p>
              </w:txbxContent>
            </v:textbox>
          </v:shape>
        </w:pict>
      </w:r>
      <w:r w:rsidR="000A7648">
        <w:rPr>
          <w:rFonts w:eastAsia="仿宋" w:hint="eastAsia"/>
          <w:noProof/>
        </w:rPr>
        <w:drawing>
          <wp:inline distT="0" distB="0" distL="114300" distR="114300">
            <wp:extent cx="5080000" cy="3810000"/>
            <wp:effectExtent l="4445" t="4445" r="20955" b="1460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2A6249" w:rsidRDefault="002A6249">
      <w:pPr>
        <w:pStyle w:val="a9"/>
        <w:spacing w:line="600" w:lineRule="exact"/>
        <w:ind w:left="640" w:firstLineChars="0" w:firstLine="0"/>
        <w:outlineLvl w:val="1"/>
        <w:rPr>
          <w:rFonts w:ascii="黑体" w:eastAsia="黑体" w:hAnsi="黑体"/>
          <w:sz w:val="32"/>
          <w:szCs w:val="32"/>
        </w:rPr>
      </w:pPr>
    </w:p>
    <w:p w:rsidR="002A6249" w:rsidRDefault="002A6249">
      <w:pPr>
        <w:pStyle w:val="a9"/>
        <w:spacing w:line="600" w:lineRule="exact"/>
        <w:ind w:left="640" w:firstLineChars="0" w:firstLine="0"/>
        <w:outlineLvl w:val="1"/>
        <w:rPr>
          <w:rFonts w:ascii="黑体" w:eastAsia="黑体" w:hAnsi="黑体"/>
          <w:sz w:val="32"/>
          <w:szCs w:val="32"/>
        </w:rPr>
      </w:pPr>
    </w:p>
    <w:p w:rsidR="002A6249" w:rsidRDefault="000A7648">
      <w:pPr>
        <w:pStyle w:val="a9"/>
        <w:spacing w:line="600" w:lineRule="exact"/>
        <w:ind w:left="640" w:firstLineChars="0" w:firstLine="0"/>
        <w:outlineLvl w:val="1"/>
        <w:rPr>
          <w:rStyle w:val="2Char"/>
          <w:rFonts w:ascii="黑体" w:eastAsia="黑体" w:hAnsi="黑体"/>
          <w:b w:val="0"/>
        </w:rPr>
      </w:pPr>
      <w:r>
        <w:rPr>
          <w:rFonts w:ascii="黑体" w:eastAsia="黑体" w:hAnsi="黑体" w:hint="eastAsia"/>
          <w:sz w:val="32"/>
          <w:szCs w:val="32"/>
        </w:rPr>
        <w:t>二、收</w:t>
      </w:r>
      <w:r>
        <w:rPr>
          <w:rStyle w:val="2Char"/>
          <w:rFonts w:ascii="黑体" w:eastAsia="黑体" w:hAnsi="黑体" w:hint="eastAsia"/>
          <w:b w:val="0"/>
        </w:rPr>
        <w:t>入决算情况说明</w:t>
      </w:r>
    </w:p>
    <w:p w:rsidR="002A6249" w:rsidRDefault="000A7648">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21年本年收入合计1634.76万元，其中：一般公共预</w:t>
      </w:r>
      <w:r>
        <w:rPr>
          <w:rFonts w:ascii="仿宋" w:eastAsia="仿宋" w:hAnsi="仿宋" w:hint="eastAsia"/>
          <w:sz w:val="32"/>
          <w:szCs w:val="32"/>
        </w:rPr>
        <w:lastRenderedPageBreak/>
        <w:t>算财政拨款收入1633.16万元，占99.90</w:t>
      </w:r>
      <w:r>
        <w:rPr>
          <w:rFonts w:ascii="仿宋" w:eastAsia="仿宋" w:hAnsi="仿宋"/>
          <w:sz w:val="32"/>
          <w:szCs w:val="32"/>
        </w:rPr>
        <w:t>%</w:t>
      </w:r>
      <w:r>
        <w:rPr>
          <w:rFonts w:ascii="仿宋" w:eastAsia="仿宋" w:hAnsi="仿宋" w:hint="eastAsia"/>
          <w:sz w:val="32"/>
          <w:szCs w:val="32"/>
        </w:rPr>
        <w:t>；政府性基金预算财政拨款收入0万元，占0</w:t>
      </w:r>
      <w:r>
        <w:rPr>
          <w:rFonts w:ascii="仿宋" w:eastAsia="仿宋" w:hAnsi="仿宋"/>
          <w:sz w:val="32"/>
          <w:szCs w:val="32"/>
        </w:rPr>
        <w:t>%</w:t>
      </w:r>
      <w:r>
        <w:rPr>
          <w:rFonts w:ascii="仿宋" w:eastAsia="仿宋" w:hAnsi="仿宋" w:hint="eastAsia"/>
          <w:sz w:val="32"/>
          <w:szCs w:val="32"/>
        </w:rPr>
        <w:t>；国有资本经营预算财政拨款收入0万元，占0</w:t>
      </w:r>
      <w:r>
        <w:rPr>
          <w:rFonts w:ascii="仿宋" w:eastAsia="仿宋" w:hAnsi="仿宋"/>
          <w:sz w:val="32"/>
          <w:szCs w:val="32"/>
        </w:rPr>
        <w:t>%</w:t>
      </w:r>
      <w:r>
        <w:rPr>
          <w:rFonts w:ascii="仿宋" w:eastAsia="仿宋" w:hAnsi="仿宋" w:hint="eastAsia"/>
          <w:sz w:val="32"/>
          <w:szCs w:val="32"/>
        </w:rPr>
        <w:t>；上级补助收入0万元，占0</w:t>
      </w:r>
      <w:r>
        <w:rPr>
          <w:rFonts w:ascii="仿宋" w:eastAsia="仿宋" w:hAnsi="仿宋"/>
          <w:sz w:val="32"/>
          <w:szCs w:val="32"/>
        </w:rPr>
        <w:t>%</w:t>
      </w:r>
      <w:r>
        <w:rPr>
          <w:rFonts w:ascii="仿宋" w:eastAsia="仿宋" w:hAnsi="仿宋" w:hint="eastAsia"/>
          <w:sz w:val="32"/>
          <w:szCs w:val="32"/>
        </w:rPr>
        <w:t>；事业收入0万元，占0</w:t>
      </w:r>
      <w:r>
        <w:rPr>
          <w:rFonts w:ascii="仿宋" w:eastAsia="仿宋" w:hAnsi="仿宋"/>
          <w:sz w:val="32"/>
          <w:szCs w:val="32"/>
        </w:rPr>
        <w:t>%</w:t>
      </w:r>
      <w:r>
        <w:rPr>
          <w:rFonts w:ascii="仿宋" w:eastAsia="仿宋" w:hAnsi="仿宋" w:hint="eastAsia"/>
          <w:sz w:val="32"/>
          <w:szCs w:val="32"/>
        </w:rPr>
        <w:t>；经营收入0万元，占0</w:t>
      </w:r>
      <w:r>
        <w:rPr>
          <w:rFonts w:ascii="仿宋" w:eastAsia="仿宋" w:hAnsi="仿宋"/>
          <w:sz w:val="32"/>
          <w:szCs w:val="32"/>
        </w:rPr>
        <w:t>%</w:t>
      </w:r>
      <w:r>
        <w:rPr>
          <w:rFonts w:ascii="仿宋" w:eastAsia="仿宋" w:hAnsi="仿宋" w:hint="eastAsia"/>
          <w:sz w:val="32"/>
          <w:szCs w:val="32"/>
        </w:rPr>
        <w:t>；附属单位上缴收入0万元，占0</w:t>
      </w:r>
      <w:r>
        <w:rPr>
          <w:rFonts w:ascii="仿宋" w:eastAsia="仿宋" w:hAnsi="仿宋"/>
          <w:sz w:val="32"/>
          <w:szCs w:val="32"/>
        </w:rPr>
        <w:t>%</w:t>
      </w:r>
      <w:r>
        <w:rPr>
          <w:rFonts w:ascii="仿宋" w:eastAsia="仿宋" w:hAnsi="仿宋" w:hint="eastAsia"/>
          <w:sz w:val="32"/>
          <w:szCs w:val="32"/>
        </w:rPr>
        <w:t>；其他收入1.6万元，占0.1</w:t>
      </w:r>
      <w:r>
        <w:rPr>
          <w:rFonts w:ascii="仿宋" w:eastAsia="仿宋" w:hAnsi="仿宋"/>
          <w:sz w:val="32"/>
          <w:szCs w:val="32"/>
        </w:rPr>
        <w:t>%</w:t>
      </w:r>
      <w:r>
        <w:rPr>
          <w:rFonts w:ascii="仿宋" w:eastAsia="仿宋" w:hAnsi="仿宋" w:hint="eastAsia"/>
          <w:sz w:val="32"/>
          <w:szCs w:val="32"/>
        </w:rPr>
        <w:t>。</w:t>
      </w:r>
    </w:p>
    <w:p w:rsidR="002A6249" w:rsidRDefault="000A7648">
      <w:pPr>
        <w:spacing w:line="600" w:lineRule="exact"/>
        <w:jc w:val="center"/>
        <w:rPr>
          <w:rFonts w:ascii="仿宋" w:eastAsia="仿宋" w:hAnsi="仿宋"/>
          <w:sz w:val="32"/>
          <w:szCs w:val="32"/>
        </w:rPr>
      </w:pPr>
      <w:r>
        <w:rPr>
          <w:rFonts w:ascii="仿宋" w:eastAsia="仿宋" w:hAnsi="仿宋" w:hint="eastAsia"/>
          <w:sz w:val="32"/>
          <w:szCs w:val="32"/>
        </w:rPr>
        <w:t>（图2：收入决算结构图）（饼状图）</w:t>
      </w:r>
    </w:p>
    <w:p w:rsidR="002A6249" w:rsidRDefault="00C61F39" w:rsidP="002A6249">
      <w:pPr>
        <w:pStyle w:val="a0"/>
        <w:spacing w:before="93"/>
        <w:rPr>
          <w:rFonts w:eastAsia="仿宋"/>
        </w:rPr>
      </w:pPr>
      <w:r w:rsidRPr="00C61F39">
        <w:pict>
          <v:shape id="_x0000_s1031" type="#_x0000_t202" style="position:absolute;left:0;text-align:left;margin-left:313.4pt;margin-top:33.25pt;width:70.5pt;height:22.45pt;z-index:251667456" o:gfxdata="UEsDBAoAAAAAAIdO4kAAAAAAAAAAAAAAAAAEAAAAZHJzL1BLAwQUAAAACACHTuJAAAIE4NUAAAAK&#10;AQAADwAAAGRycy9kb3ducmV2LnhtbE2PTU/DMAyG70j8h8hI3FjaDjJUmk4CCQlxY+uFW9Z4bUXi&#10;VEm2jn+POcHNH49eP262F+/EGWOaAmkoVwUIpD7YiQYN3f717hFEyoascYFQwzcm2LbXV42pbVjo&#10;A8+7PAgOoVQbDWPOcy1l6kf0Jq3CjMS7Y4jeZG7jIG00C4d7J6uiUNKbifjCaGZ8GbH/2p28hjf1&#10;nD+xs+92Xa3D0sk+Hl3S+vamLJ5AZLzkPxh+9VkdWnY6hBPZJJwGVSlWz1yoBxAMbNSGBwcmy/Ie&#10;ZNvI/y+0P1BLAwQUAAAACACHTuJARfkuZWQCAADCBAAADgAAAGRycy9lMm9Eb2MueG1srVTBbhMx&#10;EL0j8Q+W73SzabZNo2yq0CoIqaKVAuLseL1ZC9tjbCe75QPoH3Diwp3v6ncw9iZtaDn0QA7O2PPy&#10;ZubNTKbnnVZkK5yXYEqaHw0oEYZDJc26pJ8+Lt6MKfGBmYopMKKkt8LT89nrV9PWTsQQGlCVcARJ&#10;jJ+0tqRNCHaSZZ43QjN/BFYYdNbgNAt4deuscqxFdq2y4WBwkrXgKuuAC+/x9bJ30h2jewkh1LXk&#10;4hL4RgsTelYnFAtYkm+k9XSWsq1rwcN1XXsRiCopVhrSiUHQXsUzm03ZZO2YbSTfpcBeksKTmjST&#10;BoM+UF2ywMjGyWdUWnIHHupwxEFnfSFJEawiHzzRZtkwK1ItKLW3D6L7/0fLP2xvHJFVSQtKDNPY&#10;8Psfd/c/f9//+k6KKE9r/QRRS4u40L2FDodm/+7xMVbd1U7Hb6yHoL/Ih8f5GCW+LenxcJSfnCYm&#10;NhFdIBwB47PiuEA/R8BwXOR58mePRNb58E6AJtEoqcM+JnnZ9soHTAqhe0iM60HJaiGVShe3Xl0o&#10;R7YMe75In5gv/uQvmDKkLelJzOMZReR+oFgpxr88Z0A+ZZA26tPrEK3QrbqdaCuoblEzB/3QecsX&#10;EnmvmA83zOGUoQC4h+Eaj1oBJgM7i5IG3Ld/vUc8Nh+9lLQ4tSX1XzfMCUrUe4NjcZaPRkgb0mVU&#10;nA7x4g49q0OP2egLQJFy3HjLkxnxQe3N2oH+jOs6j1HRxQzH2CUNe/Mi9LuE687FfJ5AONiWhSuz&#10;tDxSR3ENzDcBaplaF2Xqtdmph6Od2rNbw7g7h/eEevzrmf0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AAIE4NUAAAAKAQAADwAAAAAAAAABACAAAAAiAAAAZHJzL2Rvd25yZXYueG1sUEsBAhQAFAAA&#10;AAgAh07iQEX5LmVkAgAAwgQAAA4AAAAAAAAAAQAgAAAAJAEAAGRycy9lMm9Eb2MueG1sUEsFBgAA&#10;AAAGAAYAWQEAAPoFAAAAAA==&#10;" fillcolor="white [3201]" strokeweight=".5pt">
            <v:stroke joinstyle="round"/>
            <v:textbox>
              <w:txbxContent>
                <w:p w:rsidR="002A6249" w:rsidRDefault="000A7648">
                  <w:r>
                    <w:rPr>
                      <w:rFonts w:hint="eastAsia"/>
                    </w:rPr>
                    <w:t>单位：万元</w:t>
                  </w:r>
                </w:p>
              </w:txbxContent>
            </v:textbox>
          </v:shape>
        </w:pict>
      </w:r>
      <w:r w:rsidR="000A7648">
        <w:rPr>
          <w:rFonts w:eastAsia="仿宋" w:hint="eastAsia"/>
          <w:noProof/>
        </w:rPr>
        <w:drawing>
          <wp:inline distT="0" distB="0" distL="114300" distR="114300">
            <wp:extent cx="5080000" cy="3810000"/>
            <wp:effectExtent l="4445" t="4445" r="20955" b="1460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2A6249" w:rsidRDefault="002A6249">
      <w:pPr>
        <w:spacing w:line="600" w:lineRule="exact"/>
        <w:ind w:firstLineChars="200" w:firstLine="640"/>
        <w:jc w:val="left"/>
        <w:rPr>
          <w:rFonts w:ascii="仿宋_GB2312" w:eastAsia="仿宋_GB2312"/>
          <w:sz w:val="32"/>
          <w:szCs w:val="32"/>
        </w:rPr>
      </w:pPr>
    </w:p>
    <w:p w:rsidR="002A6249" w:rsidRDefault="000A7648">
      <w:pPr>
        <w:spacing w:line="600" w:lineRule="exact"/>
        <w:ind w:firstLineChars="200" w:firstLine="640"/>
        <w:outlineLvl w:val="1"/>
        <w:rPr>
          <w:rStyle w:val="2Char"/>
          <w:rFonts w:ascii="黑体" w:eastAsia="黑体" w:hAnsi="黑体"/>
          <w:b w:val="0"/>
        </w:rPr>
      </w:pPr>
      <w:bookmarkStart w:id="20" w:name="_Toc15377207"/>
      <w:bookmarkStart w:id="21" w:name="_Toc15396605"/>
      <w:bookmarkStart w:id="22" w:name="_Toc15396604"/>
      <w:bookmarkStart w:id="23" w:name="_Toc15377206"/>
      <w:r>
        <w:rPr>
          <w:rFonts w:ascii="黑体" w:eastAsia="黑体" w:hAnsi="黑体" w:hint="eastAsia"/>
          <w:sz w:val="32"/>
          <w:szCs w:val="32"/>
        </w:rPr>
        <w:t>三、支</w:t>
      </w:r>
      <w:r>
        <w:rPr>
          <w:rStyle w:val="2Char"/>
          <w:rFonts w:ascii="黑体" w:eastAsia="黑体" w:hAnsi="黑体" w:hint="eastAsia"/>
          <w:b w:val="0"/>
        </w:rPr>
        <w:t>出决算情况说明</w:t>
      </w:r>
      <w:bookmarkEnd w:id="20"/>
      <w:bookmarkEnd w:id="21"/>
    </w:p>
    <w:p w:rsidR="002A6249" w:rsidRDefault="000A7648">
      <w:pPr>
        <w:spacing w:line="600" w:lineRule="exact"/>
        <w:ind w:firstLineChars="200" w:firstLine="640"/>
        <w:outlineLvl w:val="1"/>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21年本年支出合计1634.76万元，其中：基本支出1552.76万元，占94.98</w:t>
      </w:r>
      <w:r>
        <w:rPr>
          <w:rFonts w:ascii="仿宋" w:eastAsia="仿宋" w:hAnsi="仿宋"/>
          <w:sz w:val="32"/>
          <w:szCs w:val="32"/>
        </w:rPr>
        <w:t>%</w:t>
      </w:r>
      <w:r>
        <w:rPr>
          <w:rFonts w:ascii="仿宋" w:eastAsia="仿宋" w:hAnsi="仿宋" w:hint="eastAsia"/>
          <w:sz w:val="32"/>
          <w:szCs w:val="32"/>
        </w:rPr>
        <w:t>；项目支出82万元，占5.02</w:t>
      </w:r>
      <w:r>
        <w:rPr>
          <w:rFonts w:ascii="仿宋" w:eastAsia="仿宋" w:hAnsi="仿宋"/>
          <w:sz w:val="32"/>
          <w:szCs w:val="32"/>
        </w:rPr>
        <w:t>%</w:t>
      </w:r>
      <w:r>
        <w:rPr>
          <w:rFonts w:ascii="仿宋" w:eastAsia="仿宋" w:hAnsi="仿宋" w:hint="eastAsia"/>
          <w:sz w:val="32"/>
          <w:szCs w:val="32"/>
        </w:rPr>
        <w:t>；上缴上级支出0万元，占0</w:t>
      </w:r>
      <w:r>
        <w:rPr>
          <w:rFonts w:ascii="仿宋" w:eastAsia="仿宋" w:hAnsi="仿宋"/>
          <w:sz w:val="32"/>
          <w:szCs w:val="32"/>
        </w:rPr>
        <w:t>%</w:t>
      </w:r>
      <w:r>
        <w:rPr>
          <w:rFonts w:ascii="仿宋" w:eastAsia="仿宋" w:hAnsi="仿宋" w:hint="eastAsia"/>
          <w:sz w:val="32"/>
          <w:szCs w:val="32"/>
        </w:rPr>
        <w:t>；经营支出0万元，占0</w:t>
      </w:r>
      <w:r>
        <w:rPr>
          <w:rFonts w:ascii="仿宋" w:eastAsia="仿宋" w:hAnsi="仿宋"/>
          <w:sz w:val="32"/>
          <w:szCs w:val="32"/>
        </w:rPr>
        <w:t>%</w:t>
      </w:r>
      <w:r>
        <w:rPr>
          <w:rFonts w:ascii="仿宋" w:eastAsia="仿宋" w:hAnsi="仿宋" w:hint="eastAsia"/>
          <w:sz w:val="32"/>
          <w:szCs w:val="32"/>
        </w:rPr>
        <w:t>；对附属单位补助支出0万元，占0</w:t>
      </w:r>
      <w:r>
        <w:rPr>
          <w:rFonts w:ascii="仿宋" w:eastAsia="仿宋" w:hAnsi="仿宋"/>
          <w:sz w:val="32"/>
          <w:szCs w:val="32"/>
        </w:rPr>
        <w:t>%</w:t>
      </w:r>
      <w:r>
        <w:rPr>
          <w:rFonts w:ascii="仿宋" w:eastAsia="仿宋" w:hAnsi="仿宋" w:hint="eastAsia"/>
          <w:sz w:val="32"/>
          <w:szCs w:val="32"/>
        </w:rPr>
        <w:t>。</w:t>
      </w:r>
    </w:p>
    <w:bookmarkEnd w:id="22"/>
    <w:bookmarkEnd w:id="23"/>
    <w:p w:rsidR="002A6249" w:rsidRDefault="000A7648">
      <w:pPr>
        <w:spacing w:line="600" w:lineRule="exact"/>
        <w:jc w:val="center"/>
        <w:rPr>
          <w:rFonts w:ascii="仿宋" w:eastAsia="仿宋" w:hAnsi="仿宋"/>
          <w:sz w:val="32"/>
          <w:szCs w:val="32"/>
        </w:rPr>
      </w:pPr>
      <w:r>
        <w:rPr>
          <w:rFonts w:ascii="仿宋" w:eastAsia="仿宋" w:hAnsi="仿宋" w:hint="eastAsia"/>
          <w:sz w:val="32"/>
          <w:szCs w:val="32"/>
        </w:rPr>
        <w:lastRenderedPageBreak/>
        <w:t>（图3：支出决算结构图）（饼状图）</w:t>
      </w:r>
    </w:p>
    <w:p w:rsidR="002A6249" w:rsidRDefault="00C61F39" w:rsidP="002A6249">
      <w:pPr>
        <w:pStyle w:val="a0"/>
        <w:spacing w:before="93"/>
        <w:rPr>
          <w:rFonts w:eastAsia="仿宋"/>
        </w:rPr>
      </w:pPr>
      <w:r w:rsidRPr="00C61F39">
        <w:pict>
          <v:shape id="_x0000_s1030" type="#_x0000_t202" style="position:absolute;left:0;text-align:left;margin-left:328.4pt;margin-top:31.3pt;width:62.25pt;height:22.5pt;z-index:251660288" o:gfxdata="UEsDBAoAAAAAAIdO4kAAAAAAAAAAAAAAAAAEAAAAZHJzL1BLAwQUAAAACACHTuJAjIWiZNcAAAAK&#10;AQAADwAAAGRycy9kb3ducmV2LnhtbE2Py07DMBBF90j9B2sqsaN2EuFWIU4lkJAQO0o23bnxNInw&#10;I7Ldpvw9wwp2M5qjO+c2+5uz7IoxTcErKDYCGPo+mMkPCrrP14cdsJS1N9oGjwq+McG+Xd01ujZh&#10;8R94PeSBUYhPtVYw5jzXnKd+RKfTJszo6XYO0elMaxy4iXqhcGd5KYTkTk+ePox6xpcR+6/DxSl4&#10;k8/5iJ15N1VZhaXjfTzbpNT9uhBPwDLe8h8Mv/qkDi05ncLFm8SsAvkoST3TUEpgBGx3RQXsRKTY&#10;SuBtw/9XaH8AUEsDBBQAAAAIAIdO4kAxnjrhYgIAAMIEAAAOAAAAZHJzL2Uyb0RvYy54bWytVM1u&#10;EzEQviPxDpbvdJO0SZqomyq0CkKqaKWCODteb3aF/7Cd7JYHoG/AiQt3nqvPwWfvpi0thx7IwRl7&#10;vnwz881MTk5bJclOOF8bndPhwYASobkpar3J6aePqzfHlPjAdMGk0SKnN8LT08XrVyeNnYuRqYws&#10;hCMg0X7e2JxWIdh5lnleCcX8gbFCw1kap1jA1W2ywrEG7Epmo8FgkjXGFdYZLrzH63nnpD2jewmh&#10;Kcuai3PDt0ro0LE6IVlASb6qraeLlG1ZCh4uy9KLQGROUWlIJ4LAXsczW5yw+cYxW9W8T4G9JIUn&#10;NSlWawS9pzpngZGtq59RqZo7400ZDrhRWVdIUgRVDAdPtLmumBWpFkjt7b3o/v/R8g+7K0fqIqdT&#10;SjRTaPjdj9u7n7/vfn0n0yhPY/0cqGsLXGjfmhZDs3/3eIxVt6VT8Rv1EPjHh8PDyTEkvgF2MhvN&#10;hr3Qog2EAzCdDcbTMSUcgNExzOTPHois8+GdMIpEI6cOfUzyst2FD0gK0D0kxvVG1sWqljJd3GZ9&#10;Jh3ZMfR8lT4xX/zkL5jUpMnp5BCxn1FE7nuKtWT8y3MG8EkN2qhPp0O0Qrtue9HWpriBZs50Q+ct&#10;X9XgvWA+XDGHKYNA2MNwiaOUBsmY3qKkMu7bv94jHs2Hl5IGU5tT/3XLnKBEvtcYi9nw6CiOeboc&#10;jacjXNxjz/qxR2/VmYFIQ2y85cmM+CD3ZumM+ox1XcaocDHNETunYW+ehW6XsO5cLJcJhMG2LFzo&#10;a8sjdRRXm+U2mLJOrYsyddr06mG0U3v6NYy78/ieUA9/PY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jIWiZNcAAAAKAQAADwAAAAAAAAABACAAAAAiAAAAZHJzL2Rvd25yZXYueG1sUEsBAhQAFAAA&#10;AAgAh07iQDGeOuFiAgAAwgQAAA4AAAAAAAAAAQAgAAAAJgEAAGRycy9lMm9Eb2MueG1sUEsFBgAA&#10;AAAGAAYAWQEAAPoFAAAAAA==&#10;" fillcolor="white [3201]" strokeweight=".5pt">
            <v:stroke joinstyle="round"/>
            <v:textbox>
              <w:txbxContent>
                <w:p w:rsidR="002A6249" w:rsidRDefault="000A7648">
                  <w:r>
                    <w:rPr>
                      <w:rFonts w:hint="eastAsia"/>
                    </w:rPr>
                    <w:t>单位：万元</w:t>
                  </w:r>
                </w:p>
              </w:txbxContent>
            </v:textbox>
          </v:shape>
        </w:pict>
      </w:r>
      <w:r w:rsidR="000A7648">
        <w:rPr>
          <w:rFonts w:eastAsia="仿宋" w:hint="eastAsia"/>
          <w:noProof/>
        </w:rPr>
        <w:drawing>
          <wp:inline distT="0" distB="0" distL="114300" distR="114300">
            <wp:extent cx="5080000" cy="3810000"/>
            <wp:effectExtent l="4445" t="4445" r="20955" b="14605"/>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2A6249" w:rsidRDefault="002A6249">
      <w:pPr>
        <w:spacing w:line="600" w:lineRule="exact"/>
        <w:ind w:firstLineChars="200" w:firstLine="640"/>
        <w:rPr>
          <w:rFonts w:ascii="仿宋_GB2312" w:eastAsia="仿宋_GB2312"/>
          <w:sz w:val="32"/>
          <w:szCs w:val="32"/>
        </w:rPr>
      </w:pPr>
    </w:p>
    <w:p w:rsidR="002A6249" w:rsidRDefault="000A7648">
      <w:pPr>
        <w:spacing w:line="600" w:lineRule="exact"/>
        <w:ind w:firstLineChars="200" w:firstLine="640"/>
        <w:outlineLvl w:val="1"/>
        <w:rPr>
          <w:rStyle w:val="2Char"/>
          <w:rFonts w:ascii="黑体" w:eastAsia="黑体" w:hAnsi="黑体"/>
          <w:b w:val="0"/>
        </w:rPr>
      </w:pPr>
      <w:bookmarkStart w:id="24" w:name="_Toc15377208"/>
      <w:bookmarkStart w:id="25" w:name="_Toc15396606"/>
      <w:bookmarkStart w:id="26" w:name="_Toc15377209"/>
      <w:bookmarkStart w:id="27" w:name="_Toc15396607"/>
      <w:r>
        <w:rPr>
          <w:rFonts w:ascii="黑体" w:eastAsia="黑体" w:hAnsi="黑体" w:hint="eastAsia"/>
          <w:sz w:val="32"/>
          <w:szCs w:val="32"/>
        </w:rPr>
        <w:t>四、财</w:t>
      </w:r>
      <w:r>
        <w:rPr>
          <w:rStyle w:val="2Char"/>
          <w:rFonts w:ascii="黑体" w:eastAsia="黑体" w:hAnsi="黑体" w:hint="eastAsia"/>
          <w:b w:val="0"/>
        </w:rPr>
        <w:t>政拨款收入支出决算总体情况说明</w:t>
      </w:r>
      <w:bookmarkEnd w:id="24"/>
      <w:bookmarkEnd w:id="25"/>
    </w:p>
    <w:p w:rsidR="002A6249" w:rsidRDefault="000A7648">
      <w:pPr>
        <w:spacing w:line="600" w:lineRule="exact"/>
        <w:ind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21年财政拨款收、支总计1633.16万元。与</w:t>
      </w:r>
      <w:r>
        <w:rPr>
          <w:rFonts w:ascii="仿宋" w:eastAsia="仿宋" w:hAnsi="仿宋"/>
          <w:sz w:val="32"/>
          <w:szCs w:val="32"/>
        </w:rPr>
        <w:t>20</w:t>
      </w:r>
      <w:r>
        <w:rPr>
          <w:rFonts w:ascii="仿宋" w:eastAsia="仿宋" w:hAnsi="仿宋" w:hint="eastAsia"/>
          <w:sz w:val="32"/>
          <w:szCs w:val="32"/>
        </w:rPr>
        <w:t>20年相比，财政拨款收入增加340.46万元，增长26.34%、支出增加340.46万元，增长26.34%。主要变动原因是提高退休人员一次性生活补助标准。</w:t>
      </w:r>
    </w:p>
    <w:p w:rsidR="002A6249" w:rsidRDefault="002A6249" w:rsidP="002A6249">
      <w:pPr>
        <w:pStyle w:val="a0"/>
        <w:spacing w:before="93"/>
        <w:rPr>
          <w:rFonts w:ascii="仿宋" w:eastAsia="仿宋" w:hAnsi="仿宋"/>
          <w:sz w:val="32"/>
          <w:szCs w:val="32"/>
        </w:rPr>
      </w:pPr>
    </w:p>
    <w:p w:rsidR="002A6249" w:rsidRDefault="002A6249" w:rsidP="002A6249">
      <w:pPr>
        <w:pStyle w:val="a0"/>
        <w:spacing w:before="93"/>
        <w:rPr>
          <w:rFonts w:ascii="仿宋" w:eastAsia="仿宋" w:hAnsi="仿宋"/>
          <w:sz w:val="32"/>
          <w:szCs w:val="32"/>
        </w:rPr>
      </w:pPr>
    </w:p>
    <w:p w:rsidR="002A6249" w:rsidRDefault="002A6249" w:rsidP="002A6249">
      <w:pPr>
        <w:pStyle w:val="a0"/>
        <w:spacing w:before="93"/>
        <w:rPr>
          <w:rFonts w:ascii="仿宋" w:eastAsia="仿宋" w:hAnsi="仿宋"/>
          <w:sz w:val="32"/>
          <w:szCs w:val="32"/>
        </w:rPr>
      </w:pPr>
    </w:p>
    <w:p w:rsidR="002A6249" w:rsidRDefault="002A6249" w:rsidP="002A6249">
      <w:pPr>
        <w:pStyle w:val="a0"/>
        <w:spacing w:before="93"/>
        <w:rPr>
          <w:rFonts w:ascii="仿宋" w:eastAsia="仿宋" w:hAnsi="仿宋"/>
          <w:sz w:val="32"/>
          <w:szCs w:val="32"/>
        </w:rPr>
      </w:pPr>
    </w:p>
    <w:p w:rsidR="002A6249" w:rsidRDefault="000A7648">
      <w:pPr>
        <w:spacing w:line="600" w:lineRule="exact"/>
        <w:jc w:val="center"/>
        <w:rPr>
          <w:rFonts w:ascii="仿宋" w:eastAsia="仿宋" w:hAnsi="仿宋"/>
          <w:sz w:val="32"/>
          <w:szCs w:val="32"/>
        </w:rPr>
      </w:pPr>
      <w:r>
        <w:rPr>
          <w:rFonts w:ascii="仿宋" w:eastAsia="仿宋" w:hAnsi="仿宋" w:hint="eastAsia"/>
          <w:sz w:val="32"/>
          <w:szCs w:val="32"/>
        </w:rPr>
        <w:lastRenderedPageBreak/>
        <w:t>（图4：财政拨款收、支决算总计变动情况）（柱状图）</w:t>
      </w:r>
    </w:p>
    <w:p w:rsidR="002A6249" w:rsidRDefault="00C61F39" w:rsidP="002A6249">
      <w:pPr>
        <w:pStyle w:val="a0"/>
        <w:spacing w:before="93"/>
        <w:rPr>
          <w:rFonts w:eastAsia="仿宋"/>
        </w:rPr>
      </w:pPr>
      <w:r w:rsidRPr="00C61F39">
        <w:pict>
          <v:shape id="_x0000_s1029" type="#_x0000_t202" style="position:absolute;left:0;text-align:left;margin-left:319.4pt;margin-top:26.95pt;width:72.75pt;height:23.25pt;z-index:251666432" o:gfxdata="UEsDBAoAAAAAAIdO4kAAAAAAAAAAAAAAAAAEAAAAZHJzL1BLAwQUAAAACACHTuJAjQmxTNcAAAAK&#10;AQAADwAAAGRycy9kb3ducmV2LnhtbE2PwU7DMBBE70j8g7VI3KjduoQQ4lQCqRLiRpsLNzfeJhH2&#10;OrLdpv17zAmOq3maeVtvLs6yM4Y4elKwXAhgSJ03I/UK2v32oQQWkyajrSdUcMUIm+b2ptaV8TN9&#10;4nmXepZLKFZawZDSVHEeuwGdjgs/IeXs6IPTKZ+h5yboOZc7y1dCFNzpkfLCoCd8G7D73p2cgvfi&#10;NX1haz6MXEk/t7wLRxuVur9bihdgCS/pD4Zf/awOTXY6+BOZyKyCQpZZPSl4lM/AMvBUriWwQyaF&#10;WANvav7/heYHUEsDBBQAAAAIAIdO4kALvLuBZQIAAMQEAAAOAAAAZHJzL2Uyb0RvYy54bWytVM1u&#10;EzEQviPxDpbvdJNNkzZRN1VoFYRU0UoFcXa83qyF1za2k93yAPAGnLhw57n6HHz2Jv3l0AM5ODOe&#10;L994vpnJyWnXKLIVzkujCzo8GFAiNDel1OuCfvq4fHNMiQ9Ml0wZLQp6Izw9nb9+ddLamchNbVQp&#10;HAGJ9rPWFrQOwc6yzPNaNMwfGCs0gpVxDQtw3TorHWvB3qgsHwwmWWtcaZ3hwnvcnvdBumN0LyE0&#10;VSW5ODd80wgdelYnFAsoydfSejpPr60qwcNlVXkRiCooKg3pRBLYq3hm8xM2Wztma8l3T2AvecKT&#10;mhomNZLeUZ2zwMjGyWdUjeTOeFOFA26arC8kKYIqhoMn2lzXzIpUC6T29k50//9o+YftlSOyxCRA&#10;Es0adPz254/bX39uf38nuINArfUz4K4tkKF7azqA9/cel7HurnJN/EZFBPHxcDodHYPxBtjJ6Ggy&#10;GfdSiy4QDsA0H03zMSUcgHw6zo9SPLsnss6Hd8I0JBoFdehkEphtL3zAowDdQ2Jeb5Qsl1Kp5Lj1&#10;6kw5smXo+jJ9Ynb85BFMadIWdDIaDxLzo1jkvqNYKca/PGcAn9Kgjfr0OkQrdKtuJ9rKlDfQzJl+&#10;7LzlSwneC+bDFXOYMwiETQyXOCpl8Bizsyipjfv2r/uIR/sRpaTF3BbUf90wJyhR7zUGYzo8PARt&#10;SM7h+CiH4x5GVg8jetOcGYg0xM5bnsyID2pvVs40n7Gwi5gVIaY5chc07M2z0G8TFp6LxSKBMNqW&#10;hQt9bXmkji3RZrEJppKpdVGmXpudehju1J7dIsbteegn1P2f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jQmxTNcAAAAKAQAADwAAAAAAAAABACAAAAAiAAAAZHJzL2Rvd25yZXYueG1sUEsBAhQA&#10;FAAAAAgAh07iQAu8u4FlAgAAxAQAAA4AAAAAAAAAAQAgAAAAJgEAAGRycy9lMm9Eb2MueG1sUEsF&#10;BgAAAAAGAAYAWQEAAP0FAAAAAA==&#10;" fillcolor="white [3201]" strokeweight=".5pt">
            <v:stroke joinstyle="round"/>
            <v:textbox>
              <w:txbxContent>
                <w:p w:rsidR="002A6249" w:rsidRDefault="000A7648">
                  <w:r>
                    <w:rPr>
                      <w:rFonts w:hint="eastAsia"/>
                    </w:rPr>
                    <w:t>单位：万元</w:t>
                  </w:r>
                </w:p>
              </w:txbxContent>
            </v:textbox>
          </v:shape>
        </w:pict>
      </w:r>
      <w:r w:rsidR="000A7648">
        <w:rPr>
          <w:rFonts w:eastAsia="仿宋" w:hint="eastAsia"/>
          <w:noProof/>
        </w:rPr>
        <w:drawing>
          <wp:inline distT="0" distB="0" distL="114300" distR="114300">
            <wp:extent cx="5080000" cy="3810000"/>
            <wp:effectExtent l="4445" t="4445" r="20955" b="14605"/>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2A6249" w:rsidRDefault="002A6249" w:rsidP="002A6249">
      <w:pPr>
        <w:pStyle w:val="a0"/>
        <w:spacing w:before="93"/>
      </w:pPr>
    </w:p>
    <w:p w:rsidR="002A6249" w:rsidRDefault="002A6249">
      <w:pPr>
        <w:spacing w:line="600" w:lineRule="exact"/>
        <w:ind w:firstLine="640"/>
        <w:rPr>
          <w:rFonts w:ascii="仿宋" w:eastAsia="仿宋" w:hAnsi="仿宋"/>
          <w:b/>
          <w:sz w:val="32"/>
          <w:szCs w:val="32"/>
        </w:rPr>
      </w:pPr>
    </w:p>
    <w:p w:rsidR="002A6249" w:rsidRDefault="000A7648">
      <w:pPr>
        <w:spacing w:line="600" w:lineRule="exact"/>
        <w:ind w:firstLineChars="200" w:firstLine="640"/>
        <w:outlineLvl w:val="1"/>
        <w:rPr>
          <w:rStyle w:val="2Char"/>
          <w:rFonts w:ascii="黑体" w:eastAsia="黑体" w:hAnsi="黑体"/>
          <w:b w:val="0"/>
        </w:rPr>
      </w:pPr>
      <w:r>
        <w:rPr>
          <w:rFonts w:ascii="黑体" w:eastAsia="黑体" w:hAnsi="黑体" w:hint="eastAsia"/>
          <w:sz w:val="32"/>
          <w:szCs w:val="32"/>
        </w:rPr>
        <w:t>五、</w:t>
      </w:r>
      <w:r>
        <w:rPr>
          <w:rFonts w:ascii="黑体" w:eastAsia="黑体" w:hAnsi="黑体" w:hint="eastAsia"/>
          <w:b/>
          <w:sz w:val="32"/>
          <w:szCs w:val="32"/>
        </w:rPr>
        <w:t>一</w:t>
      </w:r>
      <w:r>
        <w:rPr>
          <w:rStyle w:val="2Char"/>
          <w:rFonts w:ascii="黑体" w:eastAsia="黑体" w:hAnsi="黑体" w:hint="eastAsia"/>
          <w:b w:val="0"/>
        </w:rPr>
        <w:t>般公共预算财政拨款支出决算情况说明</w:t>
      </w:r>
      <w:bookmarkEnd w:id="26"/>
      <w:bookmarkEnd w:id="27"/>
    </w:p>
    <w:p w:rsidR="002A6249" w:rsidRDefault="000A7648">
      <w:pPr>
        <w:spacing w:line="600" w:lineRule="exact"/>
        <w:ind w:firstLineChars="200" w:firstLine="643"/>
        <w:outlineLvl w:val="2"/>
        <w:rPr>
          <w:rFonts w:ascii="仿宋" w:eastAsia="仿宋" w:hAnsi="仿宋"/>
          <w:b/>
          <w:sz w:val="32"/>
          <w:szCs w:val="32"/>
        </w:rPr>
      </w:pPr>
      <w:bookmarkStart w:id="28" w:name="_Toc15377210"/>
      <w:r>
        <w:rPr>
          <w:rFonts w:ascii="仿宋" w:eastAsia="仿宋" w:hAnsi="仿宋" w:hint="eastAsia"/>
          <w:b/>
          <w:sz w:val="32"/>
          <w:szCs w:val="32"/>
        </w:rPr>
        <w:t>（一）一般公共预算财政拨款支出决算总体情况</w:t>
      </w:r>
      <w:bookmarkEnd w:id="28"/>
    </w:p>
    <w:p w:rsidR="002A6249" w:rsidRDefault="000A7648">
      <w:pPr>
        <w:spacing w:line="600" w:lineRule="exact"/>
        <w:ind w:firstLineChars="200" w:firstLine="640"/>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21年一般公共预算财政拨款支出1633.16万元，占本年支出合计的99.9</w:t>
      </w:r>
      <w:r>
        <w:rPr>
          <w:rFonts w:ascii="仿宋" w:eastAsia="仿宋" w:hAnsi="仿宋"/>
          <w:sz w:val="32"/>
          <w:szCs w:val="32"/>
        </w:rPr>
        <w:t>%</w:t>
      </w:r>
      <w:r>
        <w:rPr>
          <w:rFonts w:ascii="仿宋" w:eastAsia="仿宋" w:hAnsi="仿宋" w:hint="eastAsia"/>
          <w:sz w:val="32"/>
          <w:szCs w:val="32"/>
        </w:rPr>
        <w:t>。与</w:t>
      </w:r>
      <w:r>
        <w:rPr>
          <w:rFonts w:ascii="仿宋" w:eastAsia="仿宋" w:hAnsi="仿宋"/>
          <w:sz w:val="32"/>
          <w:szCs w:val="32"/>
        </w:rPr>
        <w:t>20</w:t>
      </w:r>
      <w:r>
        <w:rPr>
          <w:rFonts w:ascii="仿宋" w:eastAsia="仿宋" w:hAnsi="仿宋" w:hint="eastAsia"/>
          <w:sz w:val="32"/>
          <w:szCs w:val="32"/>
        </w:rPr>
        <w:t>20年相比，一般公共预算财政拨款支出增加340.46万元，增长26.34</w:t>
      </w:r>
      <w:r>
        <w:rPr>
          <w:rFonts w:ascii="仿宋" w:eastAsia="仿宋" w:hAnsi="仿宋"/>
          <w:sz w:val="32"/>
          <w:szCs w:val="32"/>
        </w:rPr>
        <w:t>%</w:t>
      </w:r>
      <w:r>
        <w:rPr>
          <w:rFonts w:ascii="仿宋" w:eastAsia="仿宋" w:hAnsi="仿宋" w:hint="eastAsia"/>
          <w:sz w:val="32"/>
          <w:szCs w:val="32"/>
        </w:rPr>
        <w:t>。主要变动原因是提高退休人员一次性生活补助标准。</w:t>
      </w:r>
    </w:p>
    <w:p w:rsidR="002A6249" w:rsidRDefault="002A6249" w:rsidP="002A6249">
      <w:pPr>
        <w:pStyle w:val="a0"/>
        <w:spacing w:before="93"/>
        <w:rPr>
          <w:rFonts w:ascii="仿宋" w:eastAsia="仿宋" w:hAnsi="仿宋"/>
          <w:sz w:val="32"/>
          <w:szCs w:val="32"/>
        </w:rPr>
      </w:pPr>
    </w:p>
    <w:p w:rsidR="002A6249" w:rsidRDefault="002A6249" w:rsidP="002A6249">
      <w:pPr>
        <w:pStyle w:val="a0"/>
        <w:spacing w:before="93"/>
        <w:rPr>
          <w:rFonts w:ascii="仿宋" w:eastAsia="仿宋" w:hAnsi="仿宋"/>
          <w:sz w:val="32"/>
          <w:szCs w:val="32"/>
        </w:rPr>
      </w:pPr>
    </w:p>
    <w:p w:rsidR="002A6249" w:rsidRDefault="002A6249">
      <w:pPr>
        <w:spacing w:line="600" w:lineRule="exact"/>
        <w:ind w:firstLineChars="200" w:firstLine="640"/>
        <w:rPr>
          <w:rFonts w:ascii="仿宋" w:eastAsia="仿宋" w:hAnsi="仿宋"/>
          <w:sz w:val="32"/>
          <w:szCs w:val="32"/>
        </w:rPr>
      </w:pPr>
    </w:p>
    <w:p w:rsidR="002A6249" w:rsidRDefault="000A7648">
      <w:pPr>
        <w:spacing w:line="600" w:lineRule="exact"/>
        <w:jc w:val="center"/>
        <w:rPr>
          <w:rFonts w:ascii="仿宋" w:eastAsia="仿宋" w:hAnsi="仿宋"/>
          <w:sz w:val="32"/>
          <w:szCs w:val="32"/>
        </w:rPr>
      </w:pPr>
      <w:r>
        <w:rPr>
          <w:rFonts w:ascii="仿宋" w:eastAsia="仿宋" w:hAnsi="仿宋" w:hint="eastAsia"/>
          <w:sz w:val="32"/>
          <w:szCs w:val="32"/>
        </w:rPr>
        <w:lastRenderedPageBreak/>
        <w:t>（图5：一般公共预算财政拨款支出决算变动情况）（柱状图）</w:t>
      </w:r>
    </w:p>
    <w:p w:rsidR="002A6249" w:rsidRDefault="00C61F39" w:rsidP="002A6249">
      <w:pPr>
        <w:pStyle w:val="a0"/>
        <w:spacing w:before="93"/>
        <w:rPr>
          <w:rFonts w:ascii="仿宋" w:eastAsia="仿宋" w:hAnsi="仿宋"/>
          <w:sz w:val="32"/>
          <w:szCs w:val="32"/>
        </w:rPr>
      </w:pPr>
      <w:r w:rsidRPr="00C61F39">
        <w:rPr>
          <w:sz w:val="32"/>
        </w:rPr>
        <w:pict>
          <v:shape id="_x0000_s1028" type="#_x0000_t202" style="position:absolute;left:0;text-align:left;margin-left:308.9pt;margin-top:25pt;width:68.3pt;height:24.75pt;z-index:251661312" o:gfxdata="UEsDBAoAAAAAAIdO4kAAAAAAAAAAAAAAAAAEAAAAZHJzL1BLAwQUAAAACACHTuJAJUlkENcAAAAJ&#10;AQAADwAAAGRycy9kb3ducmV2LnhtbE2PzU7DMBCE70i8g7VI3KidtklpyKYSSEiIG20u3Nx4m0T4&#10;J4rdprw9ywmOoxnNfFPtrs6KC01xCB4hWygQ5NtgBt8hNIfXh0cQMWlvtA2eEL4pwq6+val0acLs&#10;P+iyT53gEh9LjdCnNJZSxrYnp+MijOTZO4XJ6cRy6qSZ9MzlzsqlUoV0evC80OuRXnpqv/Znh/BW&#10;PKdPasy7WS1XYW5kO51sRLy/y9QTiETX9BeGX3xGh5qZjuHsTRQWocg2jJ4QcsWfOLDJ12sQR4Tt&#10;NgdZV/L/g/oHUEsDBBQAAAAIAIdO4kCQ+APBYQIAAMQEAAAOAAAAZHJzL2Uyb0RvYy54bWytVEtu&#10;2zAQ3RfoHQjuG0n+JTEiB24CFwWCJkBadE1TlCWUIlmStpQeoL1BV91033PlHH2k5Hy7yKJe0EPO&#10;w5uZNzM6Oe0aSXbCulqrnGYHKSVCcV3UapPTTx9Xb44ocZ6pgkmtRE5vhKOni9evTlozFyNdaVkI&#10;S0Ci3Lw1Oa28N/MkcbwSDXMH2ggFZ6ltwzyudpMUlrVgb2QyStNZ0mpbGKu5cA6v572TDoz2JYS6&#10;LGsuzjXfNkL5ntUKyTxKclVtHF3EbMtScH9Zlk54InOKSn08EQT2OpzJ4oTNN5aZquZDCuwlKTyp&#10;qWG1QtA7qnPmGdna+hlVU3OrnS79AddN0hcSFUEVWfpEm+uKGRFrgdTO3Inu/h8t/7C7sqQuMAkZ&#10;JYo16Pjtzx+3v/7c/v5O8AaBWuPmwF0bIH33VncA798dHkPdXWmb8I+KCPzTdDZLxxD5BthZNjpO&#10;B6lF5wkH4Gh2OMng5wCMs8l4NA2MyT2Rsc6/E7ohwcipRSejwGx34XwP3UNCXKdlXaxqKePFbtZn&#10;0pIdQ9dX8TewP4JJRdqczsbTNDI/8gXuO4q1ZPzLcwZkKxWSDvr0OgTLd+tuEG2tixtoZnU/ds7w&#10;VQ3eC+b8FbOYMwiATfSXOEqpkYweLEoqbb/96z3g0X54KWkxtzl1X7fMCkrke4XBOM4mE9D6eJlM&#10;D0e42Iee9UOP2jZnGiKh98gumgHv5d4srW4+Y2GXISpcTHHEzqnfm2e+3yYsPBfLZQRhtA3zF+ra&#10;8EAdWqL0cut1WcfWBZl6bQb1MNyx+cMihu15eI+o+4/P4i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lSWQQ1wAAAAkBAAAPAAAAAAAAAAEAIAAAACIAAABkcnMvZG93bnJldi54bWxQSwECFAAUAAAA&#10;CACHTuJAkPgDwWECAADEBAAADgAAAAAAAAABACAAAAAmAQAAZHJzL2Uyb0RvYy54bWxQSwUGAAAA&#10;AAYABgBZAQAA+QUAAAAA&#10;" fillcolor="white [3201]" strokeweight=".5pt">
            <v:stroke joinstyle="round"/>
            <v:textbox>
              <w:txbxContent>
                <w:p w:rsidR="002A6249" w:rsidRDefault="000A7648">
                  <w:r>
                    <w:rPr>
                      <w:rFonts w:hint="eastAsia"/>
                    </w:rPr>
                    <w:t>单位：万元</w:t>
                  </w:r>
                </w:p>
              </w:txbxContent>
            </v:textbox>
          </v:shape>
        </w:pict>
      </w:r>
      <w:r w:rsidR="000A7648">
        <w:rPr>
          <w:rFonts w:ascii="仿宋" w:eastAsia="仿宋" w:hAnsi="仿宋" w:hint="eastAsia"/>
          <w:noProof/>
          <w:sz w:val="32"/>
          <w:szCs w:val="32"/>
        </w:rPr>
        <w:drawing>
          <wp:inline distT="0" distB="0" distL="114300" distR="114300">
            <wp:extent cx="5080000" cy="3810000"/>
            <wp:effectExtent l="4445" t="4445" r="20955" b="14605"/>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rsidR="002A6249" w:rsidRDefault="002A6249">
      <w:pPr>
        <w:spacing w:line="600" w:lineRule="exact"/>
        <w:ind w:firstLineChars="200" w:firstLine="640"/>
        <w:rPr>
          <w:rFonts w:ascii="仿宋" w:eastAsia="仿宋" w:hAnsi="仿宋"/>
          <w:sz w:val="32"/>
          <w:szCs w:val="32"/>
        </w:rPr>
      </w:pPr>
    </w:p>
    <w:p w:rsidR="002A6249" w:rsidRDefault="000A7648">
      <w:pPr>
        <w:spacing w:line="600" w:lineRule="exact"/>
        <w:ind w:firstLineChars="200" w:firstLine="643"/>
        <w:outlineLvl w:val="2"/>
        <w:rPr>
          <w:rFonts w:ascii="仿宋" w:eastAsia="仿宋" w:hAnsi="仿宋"/>
          <w:b/>
          <w:sz w:val="32"/>
          <w:szCs w:val="32"/>
        </w:rPr>
      </w:pPr>
      <w:bookmarkStart w:id="29" w:name="_Toc15377211"/>
      <w:r>
        <w:rPr>
          <w:rFonts w:ascii="仿宋" w:eastAsia="仿宋" w:hAnsi="仿宋" w:hint="eastAsia"/>
          <w:b/>
          <w:sz w:val="32"/>
          <w:szCs w:val="32"/>
        </w:rPr>
        <w:t>（二）一般公共预算财政拨款支出决算结构情况</w:t>
      </w:r>
      <w:bookmarkEnd w:id="29"/>
    </w:p>
    <w:p w:rsidR="002A6249" w:rsidRDefault="000A7648">
      <w:pPr>
        <w:spacing w:line="600" w:lineRule="exact"/>
        <w:ind w:firstLine="640"/>
        <w:rPr>
          <w:rFonts w:ascii="仿宋" w:eastAsia="仿宋" w:hAnsi="仿宋"/>
          <w:b/>
          <w:sz w:val="32"/>
          <w:szCs w:val="32"/>
        </w:rPr>
      </w:pPr>
      <w:r>
        <w:rPr>
          <w:rFonts w:ascii="仿宋" w:eastAsia="仿宋" w:hAnsi="仿宋"/>
          <w:sz w:val="32"/>
          <w:szCs w:val="32"/>
        </w:rPr>
        <w:t>20</w:t>
      </w:r>
      <w:r>
        <w:rPr>
          <w:rFonts w:ascii="仿宋" w:eastAsia="仿宋" w:hAnsi="仿宋" w:hint="eastAsia"/>
          <w:sz w:val="32"/>
          <w:szCs w:val="32"/>
        </w:rPr>
        <w:t>21年一般公共预算财政拨款支出1633.16万元，主要用于以下方面</w:t>
      </w:r>
      <w:r>
        <w:rPr>
          <w:rFonts w:ascii="仿宋" w:eastAsia="仿宋" w:hAnsi="仿宋"/>
          <w:sz w:val="32"/>
          <w:szCs w:val="32"/>
        </w:rPr>
        <w:t>:</w:t>
      </w:r>
      <w:r>
        <w:rPr>
          <w:rFonts w:ascii="仿宋" w:eastAsia="仿宋" w:hAnsi="仿宋" w:hint="eastAsia"/>
          <w:b/>
          <w:sz w:val="32"/>
          <w:szCs w:val="32"/>
        </w:rPr>
        <w:t>社会保障和就业支出</w:t>
      </w:r>
      <w:r>
        <w:rPr>
          <w:rFonts w:ascii="仿宋" w:eastAsia="仿宋" w:hAnsi="仿宋" w:hint="eastAsia"/>
          <w:bCs/>
          <w:sz w:val="32"/>
          <w:szCs w:val="32"/>
        </w:rPr>
        <w:t>637.73</w:t>
      </w:r>
      <w:r>
        <w:rPr>
          <w:rFonts w:ascii="仿宋" w:eastAsia="仿宋" w:hAnsi="仿宋" w:hint="eastAsia"/>
          <w:sz w:val="32"/>
          <w:szCs w:val="32"/>
        </w:rPr>
        <w:t>万元，占39.05</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卫生健康支出</w:t>
      </w:r>
      <w:r>
        <w:rPr>
          <w:rFonts w:ascii="仿宋" w:eastAsia="仿宋" w:hAnsi="仿宋" w:hint="eastAsia"/>
          <w:sz w:val="32"/>
          <w:szCs w:val="32"/>
        </w:rPr>
        <w:t>77.94万元，占4.77</w:t>
      </w:r>
      <w:r>
        <w:rPr>
          <w:rFonts w:ascii="仿宋" w:eastAsia="仿宋" w:hAnsi="仿宋"/>
          <w:sz w:val="32"/>
          <w:szCs w:val="32"/>
        </w:rPr>
        <w:t>%</w:t>
      </w:r>
      <w:r>
        <w:rPr>
          <w:rFonts w:ascii="仿宋" w:eastAsia="仿宋" w:hAnsi="仿宋" w:hint="eastAsia"/>
          <w:sz w:val="32"/>
          <w:szCs w:val="32"/>
        </w:rPr>
        <w:t>；</w:t>
      </w:r>
      <w:r>
        <w:rPr>
          <w:rFonts w:ascii="仿宋" w:eastAsia="仿宋" w:hAnsi="仿宋" w:hint="eastAsia"/>
          <w:b/>
          <w:bCs/>
          <w:sz w:val="32"/>
          <w:szCs w:val="32"/>
        </w:rPr>
        <w:t>资源勘探工业信息等支出</w:t>
      </w:r>
      <w:r>
        <w:rPr>
          <w:rFonts w:ascii="仿宋" w:eastAsia="仿宋" w:hAnsi="仿宋" w:hint="eastAsia"/>
          <w:sz w:val="32"/>
          <w:szCs w:val="32"/>
        </w:rPr>
        <w:t>850.27万元，占52.06%；</w:t>
      </w:r>
      <w:r>
        <w:rPr>
          <w:rFonts w:ascii="仿宋" w:eastAsia="仿宋" w:hAnsi="仿宋" w:hint="eastAsia"/>
          <w:b/>
          <w:bCs/>
          <w:sz w:val="32"/>
          <w:szCs w:val="32"/>
        </w:rPr>
        <w:t>住房保障支出</w:t>
      </w:r>
      <w:r>
        <w:rPr>
          <w:rFonts w:ascii="仿宋" w:eastAsia="仿宋" w:hAnsi="仿宋" w:hint="eastAsia"/>
          <w:sz w:val="32"/>
          <w:szCs w:val="32"/>
        </w:rPr>
        <w:t>67.22万元，占4.12</w:t>
      </w:r>
      <w:r>
        <w:rPr>
          <w:rFonts w:ascii="仿宋" w:eastAsia="仿宋" w:hAnsi="仿宋"/>
          <w:sz w:val="32"/>
          <w:szCs w:val="32"/>
        </w:rPr>
        <w:t>%</w:t>
      </w:r>
      <w:r>
        <w:rPr>
          <w:rFonts w:ascii="仿宋" w:eastAsia="仿宋" w:hAnsi="仿宋" w:hint="eastAsia"/>
          <w:sz w:val="32"/>
          <w:szCs w:val="32"/>
        </w:rPr>
        <w:t>。</w:t>
      </w:r>
    </w:p>
    <w:p w:rsidR="002A6249" w:rsidRDefault="002A6249">
      <w:pPr>
        <w:spacing w:line="600" w:lineRule="exact"/>
        <w:ind w:firstLine="640"/>
        <w:rPr>
          <w:rFonts w:ascii="仿宋" w:eastAsia="仿宋" w:hAnsi="仿宋"/>
          <w:b/>
          <w:sz w:val="32"/>
          <w:szCs w:val="32"/>
        </w:rPr>
      </w:pPr>
    </w:p>
    <w:p w:rsidR="002A6249" w:rsidRDefault="002A6249" w:rsidP="002A6249">
      <w:pPr>
        <w:pStyle w:val="a0"/>
        <w:spacing w:before="93"/>
        <w:rPr>
          <w:rFonts w:ascii="仿宋" w:eastAsia="仿宋" w:hAnsi="仿宋"/>
          <w:b/>
          <w:sz w:val="32"/>
          <w:szCs w:val="32"/>
        </w:rPr>
      </w:pPr>
    </w:p>
    <w:p w:rsidR="002A6249" w:rsidRDefault="002A6249" w:rsidP="002A6249">
      <w:pPr>
        <w:pStyle w:val="a0"/>
        <w:spacing w:before="93"/>
        <w:rPr>
          <w:rFonts w:ascii="仿宋" w:eastAsia="仿宋" w:hAnsi="仿宋"/>
          <w:b/>
          <w:sz w:val="32"/>
          <w:szCs w:val="32"/>
        </w:rPr>
      </w:pPr>
    </w:p>
    <w:p w:rsidR="002A6249" w:rsidRDefault="002A6249">
      <w:pPr>
        <w:spacing w:line="600" w:lineRule="exact"/>
        <w:rPr>
          <w:rFonts w:ascii="仿宋" w:eastAsia="仿宋" w:hAnsi="仿宋"/>
          <w:sz w:val="32"/>
          <w:szCs w:val="32"/>
        </w:rPr>
      </w:pPr>
    </w:p>
    <w:p w:rsidR="002A6249" w:rsidRDefault="000A7648">
      <w:pPr>
        <w:spacing w:line="600" w:lineRule="exact"/>
        <w:jc w:val="center"/>
        <w:rPr>
          <w:rFonts w:ascii="仿宋" w:eastAsia="仿宋" w:hAnsi="仿宋"/>
          <w:sz w:val="32"/>
          <w:szCs w:val="32"/>
        </w:rPr>
      </w:pPr>
      <w:r>
        <w:rPr>
          <w:rFonts w:ascii="仿宋" w:eastAsia="仿宋" w:hAnsi="仿宋" w:hint="eastAsia"/>
          <w:sz w:val="32"/>
          <w:szCs w:val="32"/>
        </w:rPr>
        <w:lastRenderedPageBreak/>
        <w:t>（图6：一般公共预算财政拨款支出决算结构）（饼状图）</w:t>
      </w:r>
    </w:p>
    <w:p w:rsidR="002A6249" w:rsidRDefault="00C61F39" w:rsidP="002A6249">
      <w:pPr>
        <w:pStyle w:val="a0"/>
        <w:spacing w:before="93"/>
        <w:rPr>
          <w:rFonts w:eastAsia="仿宋"/>
        </w:rPr>
      </w:pPr>
      <w:r w:rsidRPr="00C61F39">
        <w:pict>
          <v:shape id="_x0000_s1027" type="#_x0000_t202" style="position:absolute;left:0;text-align:left;margin-left:320.9pt;margin-top:25pt;width:71.25pt;height:24.75pt;z-index:251662336" o:gfxdata="UEsDBAoAAAAAAIdO4kAAAAAAAAAAAAAAAAAEAAAAZHJzL1BLAwQUAAAACACHTuJAQH8MfNcAAAAJ&#10;AQAADwAAAGRycy9kb3ducmV2LnhtbE2PwU7DMBBE70j8g7VI3Kidpg1tyKYSSEiIG20u3Nx4m0TY&#10;6yh2m/L3mBMcRzOaeVPtrs6KC01h8IyQLRQI4tabgTuE5vD6sAERomajrWdC+KYAu/r2ptKl8TN/&#10;0GUfO5FKOJQaoY9xLKUMbU9Oh4UfiZN38pPTMcmpk2bScyp3Vi6VKqTTA6eFXo/00lP7tT87hLfi&#10;OX5SY95Nvsz93Mh2OtmAeH+XqScQka7xLwy/+Akd6sR09Gc2QViEYpUl9IiwVulTCjxuVjmII8J2&#10;uwZZV/L/g/oHUEsDBBQAAAAIAIdO4kBXi4AAZAIAAMQEAAAOAAAAZHJzL2Uyb0RvYy54bWytVM1u&#10;EzEQviPxDpbvdH+StGmUTRVaBSFVtFJBnB2vN2vh9RjbyW55AHgDTly481x9DsbeTfrHoQdycMae&#10;T9/MfDOz87OuUWQnrJOgC5odpZQIzaGUelPQTx9Xb6aUOM90yRRoUdBb4ejZ4vWreWtmIocaVCks&#10;QRLtZq0paO29mSWJ47VomDsCIzQ6K7AN83i1m6S0rEX2RiV5mh4nLdjSWODCOXy96J10YLQvIYSq&#10;klxcAN82Qvue1QrFPJbkamkcXcRsq0pwf1VVTniiCoqV+nhiELTX4UwWczbbWGZqyYcU2EtSeFJT&#10;w6TGoAeqC+YZ2Vr5jKqR3IKDyh9xaJK+kKgIVpGlT7S5qZkRsRaU2pmD6O7/0fIPu2tLZImTkFOi&#10;WYMdv/v54+7Xn7vf3wm+oUCtcTPE3RhE+u4tdAjevzt8DHV3lW3CP1ZE0D/Js+l4hCLfIvY4y0/T&#10;QWrRecIRcJqOpycTSjgCRtl4lE8CY3JPZKzz7wQ0JBgFtdjJKDDbXTrfQ/eQENeBkuVKKhUvdrM+&#10;V5bsGHZ9FX8D+yOY0qQt6PFokkbmR77AfaBYK8a/PGfAbJXGpIM+vQ7B8t26G0RbQ3mLmlnox84Z&#10;vpLIe8mcv2YW5wwFwk30V3hUCjAZGCxKarDf/vUe8Nh+9FLS4twW1H3dMisoUe81DsZpNh6HQY+X&#10;8eQkx4t96Fk/9Ohtcw4oUoY7b3g0A96rvVlZaD7jwi5DVHQxzTF2Qf3ePPf9NuHCc7FcRhCOtmH+&#10;Ut8YHqhDSzQstx4qGVsXZOq1GdTD4Y7NHxYxbM/De0Tdf3w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BAfwx81wAAAAkBAAAPAAAAAAAAAAEAIAAAACIAAABkcnMvZG93bnJldi54bWxQSwECFAAU&#10;AAAACACHTuJAV4uAAGQCAADEBAAADgAAAAAAAAABACAAAAAmAQAAZHJzL2Uyb0RvYy54bWxQSwUG&#10;AAAAAAYABgBZAQAA/AUAAAAA&#10;" fillcolor="white [3201]" strokeweight=".5pt">
            <v:stroke joinstyle="round"/>
            <v:textbox>
              <w:txbxContent>
                <w:p w:rsidR="002A6249" w:rsidRDefault="000A7648">
                  <w:r>
                    <w:rPr>
                      <w:rFonts w:hint="eastAsia"/>
                    </w:rPr>
                    <w:t>单位：万元</w:t>
                  </w:r>
                </w:p>
              </w:txbxContent>
            </v:textbox>
          </v:shape>
        </w:pict>
      </w:r>
      <w:r w:rsidR="000A7648">
        <w:rPr>
          <w:rFonts w:eastAsia="仿宋" w:hint="eastAsia"/>
          <w:noProof/>
        </w:rPr>
        <w:drawing>
          <wp:inline distT="0" distB="0" distL="114300" distR="114300">
            <wp:extent cx="5080000" cy="3810000"/>
            <wp:effectExtent l="4445" t="4445" r="20955" b="14605"/>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2A6249" w:rsidRDefault="002A6249">
      <w:pPr>
        <w:spacing w:line="600" w:lineRule="exact"/>
        <w:ind w:firstLineChars="200" w:firstLine="643"/>
        <w:outlineLvl w:val="2"/>
        <w:rPr>
          <w:rFonts w:ascii="仿宋" w:eastAsia="仿宋" w:hAnsi="仿宋"/>
          <w:b/>
          <w:sz w:val="32"/>
          <w:szCs w:val="32"/>
        </w:rPr>
      </w:pPr>
      <w:bookmarkStart w:id="30" w:name="_Toc15377212"/>
    </w:p>
    <w:p w:rsidR="002A6249" w:rsidRDefault="000A7648">
      <w:pPr>
        <w:spacing w:line="600" w:lineRule="exact"/>
        <w:ind w:firstLineChars="200" w:firstLine="643"/>
        <w:outlineLvl w:val="2"/>
        <w:rPr>
          <w:rFonts w:ascii="仿宋" w:eastAsia="仿宋" w:hAnsi="仿宋"/>
          <w:b/>
          <w:sz w:val="32"/>
          <w:szCs w:val="32"/>
        </w:rPr>
      </w:pPr>
      <w:r>
        <w:rPr>
          <w:rFonts w:ascii="仿宋" w:eastAsia="仿宋" w:hAnsi="仿宋" w:hint="eastAsia"/>
          <w:b/>
          <w:sz w:val="32"/>
          <w:szCs w:val="32"/>
        </w:rPr>
        <w:t>（三）一般公共预算财政拨款支出决算具体情况</w:t>
      </w:r>
      <w:bookmarkEnd w:id="30"/>
    </w:p>
    <w:p w:rsidR="002A6249" w:rsidRDefault="000A7648">
      <w:pPr>
        <w:spacing w:line="600" w:lineRule="exact"/>
        <w:ind w:firstLineChars="200" w:firstLine="643"/>
        <w:outlineLvl w:val="2"/>
        <w:rPr>
          <w:rFonts w:ascii="仿宋" w:eastAsia="仿宋" w:hAnsi="仿宋"/>
          <w:sz w:val="32"/>
          <w:szCs w:val="32"/>
        </w:rPr>
      </w:pPr>
      <w:bookmarkStart w:id="31" w:name="_Toc15377444"/>
      <w:bookmarkStart w:id="32" w:name="_Toc15377213"/>
      <w:bookmarkStart w:id="33" w:name="_Toc15378460"/>
      <w:r>
        <w:rPr>
          <w:rFonts w:ascii="仿宋" w:eastAsia="仿宋" w:hAnsi="仿宋" w:hint="eastAsia"/>
          <w:b/>
          <w:sz w:val="32"/>
          <w:szCs w:val="32"/>
        </w:rPr>
        <w:t>2021年一般公共预算支出决算数为</w:t>
      </w:r>
      <w:r>
        <w:rPr>
          <w:rFonts w:ascii="仿宋" w:eastAsia="仿宋" w:hAnsi="仿宋" w:hint="eastAsia"/>
          <w:b/>
          <w:bCs/>
          <w:sz w:val="32"/>
          <w:szCs w:val="32"/>
        </w:rPr>
        <w:t>1633.16万元</w:t>
      </w:r>
      <w:r>
        <w:rPr>
          <w:rFonts w:ascii="仿宋" w:eastAsia="仿宋" w:hAnsi="仿宋" w:hint="eastAsia"/>
          <w:sz w:val="32"/>
          <w:szCs w:val="32"/>
        </w:rPr>
        <w:t>，</w:t>
      </w:r>
      <w:r>
        <w:rPr>
          <w:rStyle w:val="a7"/>
          <w:rFonts w:ascii="仿宋" w:eastAsia="仿宋" w:hAnsi="仿宋" w:hint="eastAsia"/>
          <w:bCs/>
          <w:sz w:val="32"/>
          <w:szCs w:val="32"/>
        </w:rPr>
        <w:t>完成预算100</w:t>
      </w:r>
      <w:r>
        <w:rPr>
          <w:rStyle w:val="a7"/>
          <w:rFonts w:ascii="仿宋" w:eastAsia="仿宋" w:hAnsi="仿宋"/>
          <w:bCs/>
          <w:sz w:val="32"/>
          <w:szCs w:val="32"/>
        </w:rPr>
        <w:t>%</w:t>
      </w:r>
      <w:r>
        <w:rPr>
          <w:rStyle w:val="a7"/>
          <w:rFonts w:ascii="仿宋" w:eastAsia="仿宋" w:hAnsi="仿宋" w:hint="eastAsia"/>
          <w:bCs/>
          <w:sz w:val="32"/>
          <w:szCs w:val="32"/>
        </w:rPr>
        <w:t>。其中：</w:t>
      </w:r>
      <w:bookmarkEnd w:id="31"/>
      <w:bookmarkEnd w:id="32"/>
      <w:bookmarkEnd w:id="33"/>
    </w:p>
    <w:p w:rsidR="002A6249" w:rsidRDefault="000A7648">
      <w:pPr>
        <w:spacing w:line="600" w:lineRule="exact"/>
        <w:ind w:firstLineChars="200" w:firstLine="643"/>
        <w:rPr>
          <w:rStyle w:val="a7"/>
          <w:rFonts w:ascii="仿宋" w:eastAsia="仿宋" w:hAnsi="仿宋"/>
          <w:b w:val="0"/>
          <w:bCs/>
          <w:color w:val="000000"/>
          <w:sz w:val="32"/>
          <w:szCs w:val="32"/>
        </w:rPr>
      </w:pPr>
      <w:r>
        <w:rPr>
          <w:rStyle w:val="a7"/>
          <w:rFonts w:ascii="仿宋" w:eastAsia="仿宋" w:hAnsi="仿宋" w:hint="eastAsia"/>
          <w:bCs/>
          <w:color w:val="000000"/>
          <w:sz w:val="32"/>
          <w:szCs w:val="32"/>
        </w:rPr>
        <w:t>1</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社会保障和就业支出（类）行政事业单位养老支出（款）事业单位离退休（项）</w:t>
      </w:r>
      <w:r>
        <w:rPr>
          <w:rStyle w:val="a7"/>
          <w:rFonts w:ascii="仿宋" w:eastAsia="仿宋" w:hAnsi="仿宋"/>
          <w:bCs/>
          <w:color w:val="000000"/>
          <w:sz w:val="32"/>
          <w:szCs w:val="32"/>
        </w:rPr>
        <w:t>:</w:t>
      </w:r>
      <w:r>
        <w:rPr>
          <w:rStyle w:val="a7"/>
          <w:rFonts w:ascii="仿宋" w:eastAsia="仿宋" w:hAnsi="仿宋"/>
          <w:b w:val="0"/>
          <w:bCs/>
          <w:color w:val="000000"/>
          <w:sz w:val="32"/>
          <w:szCs w:val="32"/>
        </w:rPr>
        <w:t xml:space="preserve"> </w:t>
      </w:r>
      <w:r>
        <w:rPr>
          <w:rStyle w:val="a7"/>
          <w:rFonts w:ascii="仿宋" w:eastAsia="仿宋" w:hAnsi="仿宋" w:hint="eastAsia"/>
          <w:b w:val="0"/>
          <w:bCs/>
          <w:color w:val="000000"/>
          <w:sz w:val="32"/>
          <w:szCs w:val="32"/>
        </w:rPr>
        <w:t>支出决算为502.47万元，完成预算100%。</w:t>
      </w:r>
    </w:p>
    <w:p w:rsidR="002A6249" w:rsidRDefault="000A7648">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2</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社会保障和就业支出（类）行政事业单位养老支出（款）机关事业单位基本养老保险缴费支出（项）</w:t>
      </w:r>
      <w:r>
        <w:rPr>
          <w:rStyle w:val="a7"/>
          <w:rFonts w:ascii="仿宋" w:eastAsia="仿宋" w:hAnsi="仿宋" w:hint="eastAsia"/>
          <w:b w:val="0"/>
          <w:color w:val="000000"/>
          <w:sz w:val="32"/>
          <w:szCs w:val="32"/>
        </w:rPr>
        <w:t>：支出决算为89.63万元，完成预算100%。</w:t>
      </w:r>
    </w:p>
    <w:p w:rsidR="002A6249" w:rsidRDefault="000A7648">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3</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社会保障和就业支出（类）行政事业单位养老支出（款）</w:t>
      </w:r>
      <w:r>
        <w:rPr>
          <w:rStyle w:val="a7"/>
          <w:rFonts w:ascii="仿宋" w:eastAsia="仿宋" w:hAnsi="仿宋" w:hint="eastAsia"/>
          <w:bCs/>
          <w:color w:val="000000"/>
          <w:sz w:val="32"/>
          <w:szCs w:val="32"/>
        </w:rPr>
        <w:lastRenderedPageBreak/>
        <w:t>机关事业单位职业年金缴费支出（项）</w:t>
      </w:r>
      <w:r>
        <w:rPr>
          <w:rStyle w:val="a7"/>
          <w:rFonts w:ascii="仿宋" w:eastAsia="仿宋" w:hAnsi="仿宋" w:hint="eastAsia"/>
          <w:b w:val="0"/>
          <w:color w:val="000000"/>
          <w:sz w:val="32"/>
          <w:szCs w:val="32"/>
        </w:rPr>
        <w:t>：支出决算为44.81万元，完成预算100%。</w:t>
      </w:r>
    </w:p>
    <w:p w:rsidR="002A6249" w:rsidRDefault="000A7648">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4</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社会保障和就业支出（类）其他社会保障和就业支出（款）其他社会保障和就业支出（项）</w:t>
      </w:r>
      <w:r>
        <w:rPr>
          <w:rStyle w:val="a7"/>
          <w:rFonts w:ascii="仿宋" w:eastAsia="仿宋" w:hAnsi="仿宋" w:hint="eastAsia"/>
          <w:b w:val="0"/>
          <w:color w:val="000000"/>
          <w:sz w:val="32"/>
          <w:szCs w:val="32"/>
        </w:rPr>
        <w:t>：支出决算为0.82万元，完成预算100%。</w:t>
      </w:r>
    </w:p>
    <w:p w:rsidR="002A6249" w:rsidRDefault="000A7648">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5</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卫生健康支出（类）行政事业单位医疗（款）事业单位医疗（项）</w:t>
      </w:r>
      <w:r>
        <w:rPr>
          <w:rStyle w:val="a7"/>
          <w:rFonts w:ascii="仿宋" w:eastAsia="仿宋" w:hAnsi="仿宋" w:hint="eastAsia"/>
          <w:b w:val="0"/>
          <w:color w:val="000000"/>
          <w:sz w:val="32"/>
          <w:szCs w:val="32"/>
        </w:rPr>
        <w:t>：支出决算为77.94万元，完成预算100%。</w:t>
      </w:r>
    </w:p>
    <w:p w:rsidR="002A6249" w:rsidRDefault="000A7648">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6</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资源勘探工业信息等支出（类）资源勘探开发（款）其他资源勘探业支出（项）</w:t>
      </w:r>
      <w:r>
        <w:rPr>
          <w:rStyle w:val="a7"/>
          <w:rFonts w:ascii="仿宋" w:eastAsia="仿宋" w:hAnsi="仿宋" w:hint="eastAsia"/>
          <w:b w:val="0"/>
          <w:color w:val="000000"/>
          <w:sz w:val="32"/>
          <w:szCs w:val="32"/>
        </w:rPr>
        <w:t>：支出决算为850.27万元，完成预算100%。</w:t>
      </w:r>
    </w:p>
    <w:p w:rsidR="002A6249" w:rsidRDefault="000A7648">
      <w:pPr>
        <w:spacing w:line="600" w:lineRule="exact"/>
        <w:ind w:firstLineChars="200" w:firstLine="643"/>
        <w:rPr>
          <w:rStyle w:val="a7"/>
          <w:rFonts w:ascii="仿宋" w:eastAsia="仿宋" w:hAnsi="仿宋"/>
          <w:b w:val="0"/>
          <w:color w:val="000000"/>
          <w:sz w:val="32"/>
          <w:szCs w:val="32"/>
        </w:rPr>
      </w:pPr>
      <w:r>
        <w:rPr>
          <w:rStyle w:val="a7"/>
          <w:rFonts w:ascii="仿宋" w:eastAsia="仿宋" w:hAnsi="仿宋" w:hint="eastAsia"/>
          <w:bCs/>
          <w:color w:val="000000"/>
          <w:sz w:val="32"/>
          <w:szCs w:val="32"/>
        </w:rPr>
        <w:t>7</w:t>
      </w:r>
      <w:r>
        <w:rPr>
          <w:rStyle w:val="a7"/>
          <w:rFonts w:ascii="仿宋" w:eastAsia="仿宋" w:hAnsi="仿宋"/>
          <w:bCs/>
          <w:color w:val="000000"/>
          <w:sz w:val="32"/>
          <w:szCs w:val="32"/>
        </w:rPr>
        <w:t>.</w:t>
      </w:r>
      <w:r>
        <w:rPr>
          <w:rStyle w:val="a7"/>
          <w:rFonts w:ascii="仿宋" w:eastAsia="仿宋" w:hAnsi="仿宋" w:hint="eastAsia"/>
          <w:bCs/>
          <w:color w:val="000000"/>
          <w:sz w:val="32"/>
          <w:szCs w:val="32"/>
        </w:rPr>
        <w:t>住房保障支出（类）住房改革支出（款）住房公积金（项）</w:t>
      </w:r>
      <w:r>
        <w:rPr>
          <w:rStyle w:val="a7"/>
          <w:rFonts w:ascii="仿宋" w:eastAsia="仿宋" w:hAnsi="仿宋" w:hint="eastAsia"/>
          <w:b w:val="0"/>
          <w:color w:val="000000"/>
          <w:sz w:val="32"/>
          <w:szCs w:val="32"/>
        </w:rPr>
        <w:t>：支出决算为67.22万元，完成预算100%。</w:t>
      </w:r>
    </w:p>
    <w:p w:rsidR="002A6249" w:rsidRDefault="002A6249">
      <w:pPr>
        <w:spacing w:line="600" w:lineRule="exact"/>
        <w:ind w:firstLine="640"/>
        <w:rPr>
          <w:rFonts w:ascii="仿宋" w:eastAsia="仿宋" w:hAnsi="仿宋"/>
          <w:b/>
          <w:sz w:val="32"/>
          <w:szCs w:val="32"/>
        </w:rPr>
      </w:pPr>
    </w:p>
    <w:p w:rsidR="002A6249" w:rsidRDefault="000A7648">
      <w:pPr>
        <w:tabs>
          <w:tab w:val="right" w:pos="8306"/>
        </w:tabs>
        <w:spacing w:line="600" w:lineRule="exact"/>
        <w:ind w:firstLine="640"/>
        <w:outlineLvl w:val="1"/>
        <w:rPr>
          <w:rStyle w:val="2Char"/>
        </w:rPr>
      </w:pPr>
      <w:bookmarkStart w:id="34" w:name="_Toc15396608"/>
      <w:bookmarkStart w:id="35" w:name="_Toc15377214"/>
      <w:r>
        <w:rPr>
          <w:rFonts w:ascii="黑体" w:eastAsia="黑体" w:hint="eastAsia"/>
          <w:sz w:val="32"/>
          <w:szCs w:val="32"/>
        </w:rPr>
        <w:t>六</w:t>
      </w:r>
      <w:r>
        <w:rPr>
          <w:rFonts w:ascii="黑体" w:eastAsia="黑体" w:hint="eastAsia"/>
          <w:b/>
          <w:sz w:val="32"/>
          <w:szCs w:val="32"/>
        </w:rPr>
        <w:t>、</w:t>
      </w:r>
      <w:r>
        <w:rPr>
          <w:rFonts w:ascii="黑体" w:eastAsia="黑体" w:hAnsi="黑体" w:hint="eastAsia"/>
          <w:b/>
          <w:sz w:val="32"/>
          <w:szCs w:val="32"/>
        </w:rPr>
        <w:t>一</w:t>
      </w:r>
      <w:r>
        <w:rPr>
          <w:rStyle w:val="2Char"/>
          <w:rFonts w:ascii="黑体" w:eastAsia="黑体" w:hAnsi="黑体" w:hint="eastAsia"/>
          <w:b w:val="0"/>
        </w:rPr>
        <w:t>般公共预算财政拨款基本支出决算情况说明</w:t>
      </w:r>
      <w:bookmarkEnd w:id="34"/>
      <w:bookmarkEnd w:id="35"/>
      <w:r>
        <w:rPr>
          <w:rStyle w:val="2Char"/>
          <w:rFonts w:ascii="黑体" w:eastAsia="黑体" w:hAnsi="黑体"/>
          <w:b w:val="0"/>
        </w:rPr>
        <w:tab/>
      </w:r>
    </w:p>
    <w:p w:rsidR="002A6249" w:rsidRDefault="000A7648">
      <w:pPr>
        <w:spacing w:line="600" w:lineRule="exact"/>
        <w:ind w:firstLine="645"/>
        <w:rPr>
          <w:rFonts w:ascii="仿宋" w:eastAsia="仿宋" w:hAnsi="仿宋"/>
          <w:sz w:val="32"/>
          <w:szCs w:val="32"/>
        </w:rPr>
      </w:pPr>
      <w:r>
        <w:rPr>
          <w:rFonts w:ascii="仿宋" w:eastAsia="仿宋" w:hAnsi="仿宋"/>
          <w:sz w:val="32"/>
          <w:szCs w:val="32"/>
        </w:rPr>
        <w:t>20</w:t>
      </w:r>
      <w:r>
        <w:rPr>
          <w:rFonts w:ascii="仿宋" w:eastAsia="仿宋" w:hAnsi="仿宋" w:hint="eastAsia"/>
          <w:sz w:val="32"/>
          <w:szCs w:val="32"/>
        </w:rPr>
        <w:t>21年一般公共预算财政拨款基本支出1551.16万元，其中：</w:t>
      </w:r>
    </w:p>
    <w:p w:rsidR="002A6249" w:rsidRDefault="000A7648">
      <w:pPr>
        <w:spacing w:line="600" w:lineRule="exact"/>
        <w:ind w:firstLine="645"/>
        <w:rPr>
          <w:rFonts w:ascii="仿宋" w:eastAsia="仿宋" w:hAnsi="仿宋"/>
          <w:sz w:val="32"/>
          <w:szCs w:val="32"/>
        </w:rPr>
      </w:pPr>
      <w:r>
        <w:rPr>
          <w:rFonts w:ascii="仿宋" w:eastAsia="仿宋" w:hAnsi="仿宋" w:hint="eastAsia"/>
          <w:sz w:val="32"/>
          <w:szCs w:val="32"/>
        </w:rPr>
        <w:t>人员经费1448.24万元，主要包括：基本工资、津贴补贴、绩效工资、机关事业单位基本养老保险缴费、职业年金缴费、其他社会保障缴费、其他工资福利支出、离休费、退休费、医疗费补助、奖励金、住房公积金、其他对个人和家庭的补助支出。</w:t>
      </w:r>
    </w:p>
    <w:p w:rsidR="002A6249" w:rsidRDefault="000A7648">
      <w:pPr>
        <w:spacing w:line="600" w:lineRule="exact"/>
        <w:ind w:firstLine="645"/>
        <w:rPr>
          <w:rFonts w:ascii="仿宋" w:eastAsia="仿宋" w:hAnsi="仿宋"/>
          <w:sz w:val="32"/>
          <w:szCs w:val="32"/>
        </w:rPr>
      </w:pPr>
      <w:r>
        <w:rPr>
          <w:rFonts w:ascii="仿宋" w:eastAsia="仿宋" w:hAnsi="仿宋" w:hint="eastAsia"/>
          <w:sz w:val="32"/>
          <w:szCs w:val="32"/>
        </w:rPr>
        <w:t>公用经费102.92万元，主要包括：办公费、水费、电费、差旅费、维修（护）费、工会经费、福利费、其他商品</w:t>
      </w:r>
      <w:r>
        <w:rPr>
          <w:rFonts w:ascii="仿宋" w:eastAsia="仿宋" w:hAnsi="仿宋" w:hint="eastAsia"/>
          <w:sz w:val="32"/>
          <w:szCs w:val="32"/>
        </w:rPr>
        <w:lastRenderedPageBreak/>
        <w:t>和服务支出。</w:t>
      </w:r>
    </w:p>
    <w:p w:rsidR="002A6249" w:rsidRDefault="002A6249">
      <w:pPr>
        <w:spacing w:line="600" w:lineRule="exact"/>
        <w:ind w:firstLine="640"/>
        <w:rPr>
          <w:rFonts w:ascii="仿宋" w:eastAsia="仿宋" w:hAnsi="仿宋"/>
          <w:b/>
          <w:sz w:val="32"/>
          <w:szCs w:val="32"/>
        </w:rPr>
      </w:pPr>
    </w:p>
    <w:p w:rsidR="002A6249" w:rsidRDefault="000A7648">
      <w:pPr>
        <w:spacing w:line="600" w:lineRule="exact"/>
        <w:ind w:firstLine="640"/>
        <w:outlineLvl w:val="1"/>
        <w:rPr>
          <w:rStyle w:val="2Char"/>
          <w:rFonts w:ascii="黑体" w:eastAsia="黑体" w:hAnsi="黑体"/>
          <w:b w:val="0"/>
        </w:rPr>
      </w:pPr>
      <w:bookmarkStart w:id="36" w:name="_Toc15396609"/>
      <w:bookmarkStart w:id="37" w:name="_Toc15377215"/>
      <w:r>
        <w:rPr>
          <w:rFonts w:ascii="黑体" w:eastAsia="黑体" w:hint="eastAsia"/>
          <w:sz w:val="32"/>
          <w:szCs w:val="32"/>
        </w:rPr>
        <w:t>七、</w:t>
      </w:r>
      <w:r>
        <w:rPr>
          <w:rStyle w:val="2Char"/>
          <w:rFonts w:ascii="黑体" w:eastAsia="黑体" w:hAnsi="黑体" w:hint="eastAsia"/>
        </w:rPr>
        <w:t>“</w:t>
      </w:r>
      <w:r>
        <w:rPr>
          <w:rStyle w:val="2Char"/>
          <w:rFonts w:ascii="黑体" w:eastAsia="黑体" w:hAnsi="黑体" w:hint="eastAsia"/>
          <w:b w:val="0"/>
        </w:rPr>
        <w:t>三公”经费财政拨款支出决算情况说明</w:t>
      </w:r>
      <w:bookmarkEnd w:id="36"/>
      <w:bookmarkEnd w:id="37"/>
    </w:p>
    <w:p w:rsidR="002A6249" w:rsidRDefault="000A7648">
      <w:pPr>
        <w:spacing w:line="600" w:lineRule="exact"/>
        <w:ind w:firstLine="640"/>
        <w:outlineLvl w:val="2"/>
        <w:rPr>
          <w:rFonts w:ascii="仿宋" w:eastAsia="仿宋" w:hAnsi="仿宋"/>
          <w:b/>
          <w:sz w:val="32"/>
          <w:szCs w:val="32"/>
        </w:rPr>
      </w:pPr>
      <w:bookmarkStart w:id="38" w:name="_Toc15377216"/>
      <w:r>
        <w:rPr>
          <w:rFonts w:ascii="仿宋" w:eastAsia="仿宋" w:hAnsi="仿宋" w:hint="eastAsia"/>
          <w:b/>
          <w:sz w:val="32"/>
          <w:szCs w:val="32"/>
        </w:rPr>
        <w:t>（一）“三公”经费财政拨款支出决算总体情况说明</w:t>
      </w:r>
      <w:bookmarkEnd w:id="38"/>
    </w:p>
    <w:p w:rsidR="002A6249" w:rsidRDefault="000A7648">
      <w:pPr>
        <w:spacing w:line="600" w:lineRule="exact"/>
        <w:ind w:firstLine="640"/>
        <w:rPr>
          <w:rFonts w:ascii="仿宋" w:eastAsia="仿宋" w:hAnsi="仿宋"/>
          <w:color w:val="000000"/>
          <w:sz w:val="32"/>
          <w:szCs w:val="32"/>
        </w:rPr>
      </w:pPr>
      <w:r>
        <w:rPr>
          <w:rFonts w:ascii="仿宋" w:eastAsia="仿宋" w:hAnsi="仿宋" w:hint="eastAsia"/>
          <w:color w:val="000000"/>
          <w:sz w:val="32"/>
          <w:szCs w:val="32"/>
        </w:rPr>
        <w:t>本单位为事业单位，无三公经费。</w:t>
      </w:r>
      <w:r>
        <w:rPr>
          <w:rFonts w:ascii="仿宋" w:eastAsia="仿宋" w:hAnsi="仿宋" w:cs="仿宋" w:hint="eastAsia"/>
          <w:color w:val="000000"/>
          <w:sz w:val="32"/>
          <w:szCs w:val="32"/>
        </w:rPr>
        <w:t>2</w:t>
      </w:r>
      <w:r>
        <w:rPr>
          <w:rFonts w:ascii="仿宋" w:eastAsia="仿宋" w:hAnsi="仿宋" w:cs="仿宋" w:hint="eastAsia"/>
          <w:sz w:val="32"/>
          <w:szCs w:val="32"/>
        </w:rPr>
        <w:t>020年三公经费为0，2021年三公经费为0，与上年度一致，与上年度相比无增减变化。</w:t>
      </w:r>
    </w:p>
    <w:p w:rsidR="002A6249" w:rsidRDefault="000A7648">
      <w:pPr>
        <w:spacing w:line="600" w:lineRule="exact"/>
        <w:ind w:firstLine="640"/>
        <w:outlineLvl w:val="2"/>
        <w:rPr>
          <w:rFonts w:ascii="仿宋" w:eastAsia="仿宋" w:hAnsi="仿宋"/>
          <w:b/>
          <w:sz w:val="32"/>
          <w:szCs w:val="32"/>
        </w:rPr>
      </w:pPr>
      <w:bookmarkStart w:id="39" w:name="_Toc15377217"/>
      <w:r>
        <w:rPr>
          <w:rFonts w:ascii="仿宋" w:eastAsia="仿宋" w:hAnsi="仿宋" w:hint="eastAsia"/>
          <w:b/>
          <w:sz w:val="32"/>
          <w:szCs w:val="32"/>
        </w:rPr>
        <w:t>（二）“三公”经费财政拨款支出决算具体情况说明</w:t>
      </w:r>
      <w:bookmarkEnd w:id="39"/>
    </w:p>
    <w:p w:rsidR="002A6249" w:rsidRDefault="000A7648">
      <w:pPr>
        <w:spacing w:line="600" w:lineRule="exact"/>
        <w:ind w:firstLine="640"/>
        <w:rPr>
          <w:rFonts w:ascii="仿宋" w:eastAsia="仿宋" w:hAnsi="仿宋"/>
          <w:sz w:val="32"/>
          <w:szCs w:val="32"/>
        </w:rPr>
      </w:pPr>
      <w:r>
        <w:rPr>
          <w:rFonts w:ascii="仿宋" w:eastAsia="仿宋" w:hAnsi="仿宋" w:hint="eastAsia"/>
          <w:color w:val="000000"/>
          <w:sz w:val="32"/>
          <w:szCs w:val="32"/>
        </w:rPr>
        <w:t>本单位为事业单位，无三公经费。</w:t>
      </w:r>
      <w:r>
        <w:rPr>
          <w:rFonts w:ascii="仿宋" w:eastAsia="仿宋" w:hAnsi="仿宋" w:cs="仿宋" w:hint="eastAsia"/>
          <w:color w:val="000000"/>
          <w:sz w:val="32"/>
          <w:szCs w:val="32"/>
        </w:rPr>
        <w:t>2</w:t>
      </w:r>
      <w:r>
        <w:rPr>
          <w:rFonts w:ascii="仿宋" w:eastAsia="仿宋" w:hAnsi="仿宋" w:cs="仿宋" w:hint="eastAsia"/>
          <w:sz w:val="32"/>
          <w:szCs w:val="32"/>
        </w:rPr>
        <w:t>020年三公经费为0，2021年三公经费为0，与上年度一致，与上年度相比无增减变化。</w:t>
      </w:r>
    </w:p>
    <w:p w:rsidR="002A6249" w:rsidRDefault="002A6249">
      <w:pPr>
        <w:spacing w:line="600" w:lineRule="exact"/>
        <w:ind w:firstLine="640"/>
        <w:outlineLvl w:val="1"/>
        <w:rPr>
          <w:rFonts w:ascii="黑体" w:eastAsia="黑体"/>
          <w:sz w:val="32"/>
          <w:szCs w:val="32"/>
        </w:rPr>
      </w:pPr>
      <w:bookmarkStart w:id="40" w:name="_Toc15377218"/>
      <w:bookmarkStart w:id="41" w:name="_Toc15396610"/>
    </w:p>
    <w:p w:rsidR="002A6249" w:rsidRDefault="000A7648">
      <w:pPr>
        <w:spacing w:line="600" w:lineRule="exact"/>
        <w:ind w:firstLine="640"/>
        <w:outlineLvl w:val="1"/>
        <w:rPr>
          <w:rStyle w:val="2Char"/>
          <w:rFonts w:ascii="黑体" w:eastAsia="黑体" w:hAnsi="黑体"/>
        </w:rPr>
      </w:pPr>
      <w:r>
        <w:rPr>
          <w:rFonts w:ascii="黑体" w:eastAsia="黑体" w:hint="eastAsia"/>
          <w:sz w:val="32"/>
          <w:szCs w:val="32"/>
        </w:rPr>
        <w:t>八、</w:t>
      </w:r>
      <w:r>
        <w:rPr>
          <w:rStyle w:val="2Char"/>
          <w:rFonts w:ascii="黑体" w:eastAsia="黑体" w:hAnsi="黑体" w:hint="eastAsia"/>
          <w:b w:val="0"/>
        </w:rPr>
        <w:t>政府性基金预算支出决算情况说明</w:t>
      </w:r>
      <w:bookmarkEnd w:id="40"/>
      <w:bookmarkEnd w:id="41"/>
    </w:p>
    <w:p w:rsidR="002A6249" w:rsidRDefault="000A7648">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21年政府性基金预算财政拨款支出0万元。</w:t>
      </w:r>
    </w:p>
    <w:p w:rsidR="002A6249" w:rsidRDefault="002A6249">
      <w:pPr>
        <w:spacing w:line="600" w:lineRule="exact"/>
        <w:ind w:firstLine="640"/>
        <w:rPr>
          <w:rFonts w:ascii="仿宋_GB2312" w:eastAsia="仿宋_GB2312"/>
          <w:sz w:val="32"/>
          <w:szCs w:val="32"/>
        </w:rPr>
      </w:pPr>
    </w:p>
    <w:p w:rsidR="002A6249" w:rsidRDefault="000A7648">
      <w:pPr>
        <w:numPr>
          <w:ilvl w:val="0"/>
          <w:numId w:val="1"/>
        </w:numPr>
        <w:spacing w:line="600" w:lineRule="exact"/>
        <w:ind w:firstLine="640"/>
        <w:outlineLvl w:val="1"/>
        <w:rPr>
          <w:rStyle w:val="2Char"/>
          <w:rFonts w:ascii="黑体" w:eastAsia="黑体" w:hAnsi="黑体"/>
          <w:b w:val="0"/>
        </w:rPr>
      </w:pPr>
      <w:bookmarkStart w:id="42" w:name="_Toc15396611"/>
      <w:bookmarkStart w:id="43" w:name="_Toc15377219"/>
      <w:r>
        <w:rPr>
          <w:rStyle w:val="2Char"/>
          <w:rFonts w:ascii="黑体" w:eastAsia="黑体" w:hAnsi="黑体" w:hint="eastAsia"/>
          <w:b w:val="0"/>
        </w:rPr>
        <w:t>国有资本经营预算支出决算情况说明</w:t>
      </w:r>
      <w:bookmarkEnd w:id="42"/>
      <w:bookmarkEnd w:id="43"/>
    </w:p>
    <w:p w:rsidR="002A6249" w:rsidRDefault="000A7648">
      <w:pPr>
        <w:spacing w:line="600" w:lineRule="exact"/>
        <w:ind w:firstLine="640"/>
        <w:rPr>
          <w:rFonts w:ascii="仿宋_GB2312" w:eastAsia="仿宋_GB2312"/>
          <w:sz w:val="32"/>
          <w:szCs w:val="32"/>
        </w:rPr>
      </w:pPr>
      <w:r>
        <w:rPr>
          <w:rFonts w:ascii="仿宋_GB2312" w:eastAsia="仿宋_GB2312"/>
          <w:sz w:val="32"/>
          <w:szCs w:val="32"/>
        </w:rPr>
        <w:t>20</w:t>
      </w:r>
      <w:r>
        <w:rPr>
          <w:rFonts w:ascii="仿宋_GB2312" w:eastAsia="仿宋_GB2312" w:hint="eastAsia"/>
          <w:sz w:val="32"/>
          <w:szCs w:val="32"/>
        </w:rPr>
        <w:t>21年国有资本经营预算财政拨款支出0万元。</w:t>
      </w:r>
    </w:p>
    <w:p w:rsidR="002A6249" w:rsidRDefault="002A6249">
      <w:pPr>
        <w:spacing w:line="580" w:lineRule="exact"/>
        <w:jc w:val="center"/>
        <w:rPr>
          <w:rFonts w:ascii="方正小标宋简体" w:eastAsia="方正小标宋简体" w:hAnsi="方正小标宋简体" w:cs="方正小标宋简体"/>
          <w:sz w:val="44"/>
          <w:szCs w:val="44"/>
        </w:rPr>
      </w:pPr>
    </w:p>
    <w:p w:rsidR="002A6249" w:rsidRDefault="000A7648">
      <w:pPr>
        <w:numPr>
          <w:ilvl w:val="0"/>
          <w:numId w:val="1"/>
        </w:numPr>
        <w:spacing w:line="600" w:lineRule="exact"/>
        <w:ind w:firstLine="640"/>
        <w:outlineLvl w:val="1"/>
        <w:rPr>
          <w:rStyle w:val="2Char"/>
          <w:rFonts w:ascii="黑体" w:eastAsia="黑体" w:hAnsi="黑体"/>
          <w:b w:val="0"/>
        </w:rPr>
      </w:pPr>
      <w:bookmarkStart w:id="44" w:name="_Toc15377221"/>
      <w:bookmarkStart w:id="45" w:name="_Toc15396612"/>
      <w:r>
        <w:rPr>
          <w:rStyle w:val="2Char"/>
          <w:rFonts w:ascii="黑体" w:eastAsia="黑体" w:hAnsi="黑体" w:hint="eastAsia"/>
          <w:b w:val="0"/>
        </w:rPr>
        <w:t>其他重要事项的情况说明</w:t>
      </w:r>
      <w:bookmarkEnd w:id="44"/>
      <w:bookmarkEnd w:id="45"/>
    </w:p>
    <w:p w:rsidR="002A6249" w:rsidRDefault="000A7648">
      <w:pPr>
        <w:spacing w:line="600" w:lineRule="exact"/>
        <w:ind w:firstLineChars="200" w:firstLine="643"/>
        <w:outlineLvl w:val="2"/>
        <w:rPr>
          <w:rFonts w:ascii="仿宋" w:eastAsia="仿宋" w:hAnsi="仿宋"/>
          <w:sz w:val="32"/>
          <w:szCs w:val="32"/>
        </w:rPr>
      </w:pPr>
      <w:bookmarkStart w:id="46" w:name="_Toc15377222"/>
      <w:r>
        <w:rPr>
          <w:rFonts w:ascii="仿宋" w:eastAsia="仿宋" w:hAnsi="仿宋" w:hint="eastAsia"/>
          <w:b/>
          <w:sz w:val="32"/>
          <w:szCs w:val="32"/>
        </w:rPr>
        <w:t>（一）机关运行经费支出情况</w:t>
      </w:r>
      <w:bookmarkEnd w:id="46"/>
    </w:p>
    <w:p w:rsidR="002A6249" w:rsidRDefault="000A7648">
      <w:pPr>
        <w:spacing w:line="600" w:lineRule="exact"/>
        <w:ind w:firstLineChars="200" w:firstLine="640"/>
        <w:rPr>
          <w:rFonts w:ascii="仿宋_GB2312" w:eastAsia="仿宋_GB2312"/>
          <w:sz w:val="32"/>
          <w:szCs w:val="32"/>
        </w:rPr>
      </w:pPr>
      <w:r>
        <w:rPr>
          <w:rFonts w:ascii="仿宋" w:eastAsia="仿宋" w:hAnsi="仿宋" w:cs="仿宋" w:hint="eastAsia"/>
          <w:color w:val="000000"/>
          <w:sz w:val="32"/>
          <w:szCs w:val="32"/>
        </w:rPr>
        <w:t>2</w:t>
      </w:r>
      <w:r>
        <w:rPr>
          <w:rFonts w:ascii="仿宋" w:eastAsia="仿宋" w:hAnsi="仿宋" w:cs="仿宋" w:hint="eastAsia"/>
          <w:sz w:val="32"/>
          <w:szCs w:val="32"/>
        </w:rPr>
        <w:t>020年机关运行经费为0，2021年机关运行经费为0，与上年度一致，与上年度相比无增减变化。</w:t>
      </w:r>
    </w:p>
    <w:p w:rsidR="002A6249" w:rsidRDefault="000A7648">
      <w:pPr>
        <w:autoSpaceDE w:val="0"/>
        <w:autoSpaceDN w:val="0"/>
        <w:adjustRightInd w:val="0"/>
        <w:spacing w:line="600" w:lineRule="exact"/>
        <w:ind w:firstLineChars="200" w:firstLine="643"/>
        <w:jc w:val="left"/>
        <w:outlineLvl w:val="2"/>
        <w:rPr>
          <w:rFonts w:ascii="仿宋" w:eastAsia="仿宋" w:hAnsi="仿宋"/>
          <w:b/>
          <w:sz w:val="32"/>
          <w:szCs w:val="32"/>
        </w:rPr>
      </w:pPr>
      <w:bookmarkStart w:id="47" w:name="_Toc15377223"/>
      <w:r>
        <w:rPr>
          <w:rFonts w:ascii="仿宋" w:eastAsia="仿宋" w:hAnsi="仿宋" w:hint="eastAsia"/>
          <w:b/>
          <w:sz w:val="32"/>
          <w:szCs w:val="32"/>
        </w:rPr>
        <w:t>（二）政府采购支出情况</w:t>
      </w:r>
      <w:bookmarkEnd w:id="47"/>
    </w:p>
    <w:p w:rsidR="002A6249" w:rsidRDefault="000A7648">
      <w:pPr>
        <w:spacing w:line="600" w:lineRule="exact"/>
        <w:ind w:firstLineChars="200" w:firstLine="640"/>
        <w:rPr>
          <w:rFonts w:ascii="仿宋_GB2312" w:eastAsia="仿宋_GB2312"/>
          <w:sz w:val="32"/>
          <w:szCs w:val="32"/>
        </w:rPr>
      </w:pPr>
      <w:r>
        <w:rPr>
          <w:rFonts w:ascii="仿宋_GB2312" w:eastAsia="仿宋_GB2312"/>
          <w:sz w:val="32"/>
          <w:szCs w:val="32"/>
        </w:rPr>
        <w:lastRenderedPageBreak/>
        <w:t>20</w:t>
      </w:r>
      <w:r>
        <w:rPr>
          <w:rFonts w:ascii="仿宋_GB2312" w:eastAsia="仿宋_GB2312" w:hint="eastAsia"/>
          <w:sz w:val="32"/>
          <w:szCs w:val="32"/>
        </w:rPr>
        <w:t>21年，本单位政府采购支出总额0万元。</w:t>
      </w:r>
    </w:p>
    <w:p w:rsidR="002A6249" w:rsidRDefault="000A7648">
      <w:pPr>
        <w:autoSpaceDE w:val="0"/>
        <w:autoSpaceDN w:val="0"/>
        <w:adjustRightInd w:val="0"/>
        <w:spacing w:line="600" w:lineRule="exact"/>
        <w:ind w:firstLineChars="200" w:firstLine="643"/>
        <w:jc w:val="left"/>
        <w:outlineLvl w:val="2"/>
        <w:rPr>
          <w:rFonts w:ascii="仿宋" w:eastAsia="仿宋" w:hAnsi="仿宋"/>
          <w:b/>
          <w:sz w:val="32"/>
          <w:szCs w:val="32"/>
        </w:rPr>
      </w:pPr>
      <w:bookmarkStart w:id="48" w:name="_Toc15377224"/>
      <w:r>
        <w:rPr>
          <w:rFonts w:ascii="仿宋" w:eastAsia="仿宋" w:hAnsi="仿宋" w:hint="eastAsia"/>
          <w:b/>
          <w:sz w:val="32"/>
          <w:szCs w:val="32"/>
        </w:rPr>
        <w:t>（三）国有资产占有使用情况</w:t>
      </w:r>
      <w:bookmarkEnd w:id="48"/>
    </w:p>
    <w:p w:rsidR="002A6249" w:rsidRDefault="000A7648">
      <w:pPr>
        <w:autoSpaceDE w:val="0"/>
        <w:autoSpaceDN w:val="0"/>
        <w:adjustRightInd w:val="0"/>
        <w:spacing w:line="600" w:lineRule="exac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截至</w:t>
      </w:r>
      <w:r>
        <w:rPr>
          <w:rFonts w:ascii="仿宋_GB2312" w:eastAsia="仿宋_GB2312"/>
          <w:color w:val="000000"/>
          <w:sz w:val="32"/>
          <w:szCs w:val="32"/>
        </w:rPr>
        <w:t>20</w:t>
      </w:r>
      <w:r>
        <w:rPr>
          <w:rFonts w:ascii="仿宋_GB2312" w:eastAsia="仿宋_GB2312" w:hint="eastAsia"/>
          <w:color w:val="000000"/>
          <w:sz w:val="32"/>
          <w:szCs w:val="32"/>
        </w:rPr>
        <w:t>21年</w:t>
      </w:r>
      <w:r>
        <w:rPr>
          <w:rFonts w:ascii="仿宋_GB2312" w:eastAsia="仿宋_GB2312"/>
          <w:color w:val="000000"/>
          <w:sz w:val="32"/>
          <w:szCs w:val="32"/>
        </w:rPr>
        <w:t>12</w:t>
      </w:r>
      <w:r>
        <w:rPr>
          <w:rFonts w:ascii="仿宋_GB2312" w:eastAsia="仿宋_GB2312" w:hint="eastAsia"/>
          <w:color w:val="000000"/>
          <w:sz w:val="32"/>
          <w:szCs w:val="32"/>
        </w:rPr>
        <w:t>月</w:t>
      </w:r>
      <w:r>
        <w:rPr>
          <w:rFonts w:ascii="仿宋_GB2312" w:eastAsia="仿宋_GB2312"/>
          <w:color w:val="000000"/>
          <w:sz w:val="32"/>
          <w:szCs w:val="32"/>
        </w:rPr>
        <w:t>31</w:t>
      </w:r>
      <w:r>
        <w:rPr>
          <w:rFonts w:ascii="仿宋_GB2312" w:eastAsia="仿宋_GB2312" w:hint="eastAsia"/>
          <w:color w:val="000000"/>
          <w:sz w:val="32"/>
          <w:szCs w:val="32"/>
        </w:rPr>
        <w:t>日，无车辆，无</w:t>
      </w:r>
      <w:r>
        <w:rPr>
          <w:rFonts w:ascii="仿宋_GB2312" w:eastAsia="仿宋_GB2312" w:hint="eastAsia"/>
          <w:color w:val="000000" w:themeColor="text1"/>
          <w:sz w:val="32"/>
          <w:szCs w:val="32"/>
        </w:rPr>
        <w:t>单价</w:t>
      </w:r>
      <w:r>
        <w:rPr>
          <w:rFonts w:ascii="仿宋_GB2312" w:eastAsia="仿宋_GB2312"/>
          <w:color w:val="000000" w:themeColor="text1"/>
          <w:sz w:val="32"/>
          <w:szCs w:val="32"/>
        </w:rPr>
        <w:t>50</w:t>
      </w:r>
      <w:r>
        <w:rPr>
          <w:rFonts w:ascii="仿宋_GB2312" w:eastAsia="仿宋_GB2312" w:hint="eastAsia"/>
          <w:color w:val="000000" w:themeColor="text1"/>
          <w:sz w:val="32"/>
          <w:szCs w:val="32"/>
        </w:rPr>
        <w:t>万元以上的通用设备，无单价</w:t>
      </w:r>
      <w:r>
        <w:rPr>
          <w:rFonts w:ascii="仿宋_GB2312" w:eastAsia="仿宋_GB2312"/>
          <w:color w:val="000000" w:themeColor="text1"/>
          <w:sz w:val="32"/>
          <w:szCs w:val="32"/>
        </w:rPr>
        <w:t>100</w:t>
      </w:r>
      <w:r>
        <w:rPr>
          <w:rFonts w:ascii="仿宋_GB2312" w:eastAsia="仿宋_GB2312" w:hint="eastAsia"/>
          <w:color w:val="000000"/>
          <w:sz w:val="32"/>
          <w:szCs w:val="32"/>
        </w:rPr>
        <w:t>万元以上的专用设备。</w:t>
      </w:r>
    </w:p>
    <w:p w:rsidR="002A6249" w:rsidRDefault="000A7648">
      <w:pPr>
        <w:autoSpaceDE w:val="0"/>
        <w:autoSpaceDN w:val="0"/>
        <w:adjustRightInd w:val="0"/>
        <w:spacing w:line="600" w:lineRule="exact"/>
        <w:ind w:firstLineChars="200" w:firstLine="643"/>
        <w:jc w:val="left"/>
        <w:outlineLvl w:val="2"/>
        <w:rPr>
          <w:rFonts w:ascii="仿宋" w:eastAsia="仿宋" w:hAnsi="仿宋"/>
          <w:b/>
          <w:sz w:val="32"/>
          <w:szCs w:val="32"/>
        </w:rPr>
      </w:pPr>
      <w:r>
        <w:rPr>
          <w:rFonts w:ascii="仿宋" w:eastAsia="仿宋" w:hAnsi="仿宋" w:hint="eastAsia"/>
          <w:b/>
          <w:sz w:val="32"/>
          <w:szCs w:val="32"/>
        </w:rPr>
        <w:t>（四）预算绩效管理情况</w:t>
      </w:r>
    </w:p>
    <w:p w:rsidR="002A6249" w:rsidRDefault="000A7648" w:rsidP="002A6249">
      <w:pPr>
        <w:pStyle w:val="a0"/>
        <w:spacing w:before="93"/>
        <w:ind w:firstLineChars="200" w:firstLine="640"/>
      </w:pPr>
      <w:r>
        <w:rPr>
          <w:rFonts w:ascii="仿宋" w:eastAsia="仿宋" w:hAnsi="仿宋" w:hint="eastAsia"/>
          <w:bCs/>
          <w:sz w:val="32"/>
          <w:szCs w:val="32"/>
        </w:rPr>
        <w:t>本单位不涉及预算绩效管理。</w:t>
      </w:r>
    </w:p>
    <w:p w:rsidR="002A6249" w:rsidRDefault="002A6249">
      <w:pPr>
        <w:autoSpaceDE w:val="0"/>
        <w:autoSpaceDN w:val="0"/>
        <w:adjustRightInd w:val="0"/>
        <w:spacing w:line="600" w:lineRule="exact"/>
        <w:ind w:firstLineChars="200" w:firstLine="643"/>
        <w:rPr>
          <w:rFonts w:ascii="仿宋" w:eastAsia="仿宋" w:hAnsi="仿宋"/>
          <w:b/>
          <w:sz w:val="32"/>
          <w:szCs w:val="32"/>
        </w:rPr>
      </w:pPr>
    </w:p>
    <w:p w:rsidR="002A6249" w:rsidRDefault="002A6249" w:rsidP="002A6249">
      <w:pPr>
        <w:pStyle w:val="a0"/>
        <w:spacing w:before="93"/>
        <w:rPr>
          <w:highlight w:val="yellow"/>
        </w:rPr>
      </w:pPr>
    </w:p>
    <w:p w:rsidR="002A6249" w:rsidRDefault="000A7648">
      <w:pPr>
        <w:widowControl/>
        <w:jc w:val="left"/>
        <w:rPr>
          <w:rFonts w:ascii="仿宋_GB2312" w:eastAsia="仿宋_GB2312"/>
          <w:b/>
          <w:sz w:val="32"/>
          <w:szCs w:val="32"/>
        </w:rPr>
      </w:pPr>
      <w:r>
        <w:rPr>
          <w:rFonts w:ascii="仿宋_GB2312" w:eastAsia="仿宋_GB2312"/>
          <w:b/>
          <w:sz w:val="32"/>
          <w:szCs w:val="32"/>
        </w:rPr>
        <w:br w:type="page"/>
      </w:r>
    </w:p>
    <w:p w:rsidR="002A6249" w:rsidRDefault="000A7648">
      <w:pPr>
        <w:numPr>
          <w:ilvl w:val="0"/>
          <w:numId w:val="2"/>
        </w:numPr>
        <w:spacing w:line="600" w:lineRule="exact"/>
        <w:ind w:firstLineChars="150" w:firstLine="660"/>
        <w:jc w:val="center"/>
        <w:outlineLvl w:val="0"/>
        <w:rPr>
          <w:rStyle w:val="1Char"/>
          <w:rFonts w:ascii="黑体" w:eastAsia="黑体" w:hAnsi="黑体"/>
          <w:b w:val="0"/>
        </w:rPr>
      </w:pPr>
      <w:bookmarkStart w:id="49" w:name="_Toc15396613"/>
      <w:bookmarkStart w:id="50" w:name="_Toc15377225"/>
      <w:r>
        <w:rPr>
          <w:rFonts w:ascii="黑体" w:eastAsia="黑体" w:hAnsi="黑体" w:hint="eastAsia"/>
          <w:sz w:val="44"/>
          <w:szCs w:val="44"/>
        </w:rPr>
        <w:lastRenderedPageBreak/>
        <w:t>名</w:t>
      </w:r>
      <w:r>
        <w:rPr>
          <w:rStyle w:val="1Char"/>
          <w:rFonts w:ascii="黑体" w:eastAsia="黑体" w:hAnsi="黑体" w:hint="eastAsia"/>
          <w:b w:val="0"/>
        </w:rPr>
        <w:t>词解释</w:t>
      </w:r>
      <w:bookmarkEnd w:id="49"/>
      <w:bookmarkEnd w:id="50"/>
    </w:p>
    <w:p w:rsidR="002A6249" w:rsidRDefault="002A6249">
      <w:pPr>
        <w:spacing w:line="600" w:lineRule="exact"/>
        <w:jc w:val="left"/>
        <w:rPr>
          <w:rFonts w:ascii="宋体"/>
          <w:b/>
          <w:sz w:val="44"/>
          <w:szCs w:val="44"/>
        </w:rPr>
      </w:pPr>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1.</w:t>
      </w:r>
      <w:r>
        <w:rPr>
          <w:rFonts w:ascii="仿宋_GB2312" w:eastAsia="仿宋_GB2312" w:hint="eastAsia"/>
          <w:color w:val="auto"/>
          <w:sz w:val="32"/>
          <w:szCs w:val="32"/>
        </w:rPr>
        <w:t>财政拨款收入：指单位从同级财政部门取得的财政预算资金。</w:t>
      </w:r>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2.</w:t>
      </w:r>
      <w:r>
        <w:rPr>
          <w:rFonts w:ascii="仿宋_GB2312" w:eastAsia="仿宋_GB2312" w:hint="eastAsia"/>
          <w:color w:val="auto"/>
          <w:sz w:val="32"/>
          <w:szCs w:val="32"/>
        </w:rPr>
        <w:t>事业收入：指事业单位开展专业业务活动及辅助活动取得的收入。本单位无事业收入。</w:t>
      </w:r>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3.</w:t>
      </w:r>
      <w:r>
        <w:rPr>
          <w:rFonts w:ascii="仿宋_GB2312" w:eastAsia="仿宋_GB2312" w:hint="eastAsia"/>
          <w:color w:val="auto"/>
          <w:sz w:val="32"/>
          <w:szCs w:val="32"/>
        </w:rPr>
        <w:t>经营收入：指事业单位在专业业务活动及其辅助活动之外开展非独立核算经营活动取得的收入。本单位无经营收入。</w:t>
      </w:r>
      <w:bookmarkStart w:id="51" w:name="_GoBack"/>
      <w:bookmarkEnd w:id="51"/>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4.</w:t>
      </w:r>
      <w:r>
        <w:rPr>
          <w:rFonts w:ascii="仿宋_GB2312" w:eastAsia="仿宋_GB2312" w:hint="eastAsia"/>
          <w:color w:val="auto"/>
          <w:sz w:val="32"/>
          <w:szCs w:val="32"/>
        </w:rPr>
        <w:t>其他收入：指单位取得的除上述收入以外的各项收入。主要是非同级财政拨款收入。</w:t>
      </w:r>
      <w:r>
        <w:rPr>
          <w:rFonts w:ascii="仿宋_GB2312" w:eastAsia="仿宋_GB2312"/>
          <w:color w:val="auto"/>
          <w:sz w:val="32"/>
          <w:szCs w:val="32"/>
        </w:rPr>
        <w:t xml:space="preserve"> </w:t>
      </w:r>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5.</w:t>
      </w:r>
      <w:r>
        <w:rPr>
          <w:rFonts w:ascii="仿宋_GB2312" w:eastAsia="仿宋_GB2312" w:hint="eastAsia"/>
          <w:color w:val="auto"/>
          <w:sz w:val="32"/>
          <w:szCs w:val="32"/>
        </w:rPr>
        <w:t>使用非财政拨款结余：指事业单位使用以前年度积累的非财政拨款结余弥补当年收支差额的金额。</w:t>
      </w:r>
      <w:r>
        <w:rPr>
          <w:rFonts w:ascii="仿宋_GB2312" w:eastAsia="仿宋_GB2312"/>
          <w:color w:val="auto"/>
          <w:sz w:val="32"/>
          <w:szCs w:val="32"/>
        </w:rPr>
        <w:t xml:space="preserve"> </w:t>
      </w:r>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6.</w:t>
      </w:r>
      <w:r>
        <w:rPr>
          <w:rFonts w:ascii="仿宋_GB2312" w:eastAsia="仿宋_GB2312" w:hint="eastAsia"/>
          <w:color w:val="auto"/>
          <w:sz w:val="32"/>
          <w:szCs w:val="32"/>
        </w:rPr>
        <w:t>年初结转和结余：指以前年度尚未完成、结转到本年按有关规定继续使用的资金。</w:t>
      </w:r>
      <w:r>
        <w:rPr>
          <w:rFonts w:ascii="仿宋_GB2312" w:eastAsia="仿宋_GB2312"/>
          <w:color w:val="auto"/>
          <w:sz w:val="32"/>
          <w:szCs w:val="32"/>
        </w:rPr>
        <w:t xml:space="preserve"> </w:t>
      </w:r>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7.</w:t>
      </w:r>
      <w:r>
        <w:rPr>
          <w:rFonts w:ascii="仿宋_GB2312" w:eastAsia="仿宋_GB2312" w:hint="eastAsia"/>
          <w:color w:val="auto"/>
          <w:sz w:val="32"/>
          <w:szCs w:val="32"/>
        </w:rPr>
        <w:t>结余分配：指事业单位按照会计制度规定缴纳的所得税、提取的专用结余以及转入非财政拨款结余的金额等。</w:t>
      </w:r>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color w:val="auto"/>
          <w:sz w:val="32"/>
          <w:szCs w:val="32"/>
        </w:rPr>
        <w:t>8</w:t>
      </w:r>
      <w:r>
        <w:rPr>
          <w:rFonts w:ascii="仿宋_GB2312" w:eastAsia="仿宋_GB2312" w:hint="eastAsia"/>
          <w:color w:val="auto"/>
          <w:sz w:val="32"/>
          <w:szCs w:val="32"/>
        </w:rPr>
        <w:t>、年末结转和结余：指单位按有关规定结转到下年或以后年度继续使用的资金。</w:t>
      </w:r>
    </w:p>
    <w:p w:rsidR="002A6249" w:rsidRDefault="000A7648">
      <w:pPr>
        <w:ind w:firstLineChars="200" w:firstLine="640"/>
        <w:rPr>
          <w:rFonts w:ascii="仿宋_GB2312" w:eastAsia="仿宋_GB2312"/>
          <w:sz w:val="32"/>
          <w:szCs w:val="32"/>
        </w:rPr>
      </w:pPr>
      <w:r>
        <w:rPr>
          <w:rFonts w:ascii="仿宋_GB2312" w:eastAsia="仿宋_GB2312"/>
          <w:sz w:val="32"/>
          <w:szCs w:val="32"/>
        </w:rPr>
        <w:t>9.</w:t>
      </w:r>
      <w:r>
        <w:rPr>
          <w:rFonts w:ascii="仿宋_GB2312" w:eastAsia="仿宋_GB2312" w:hint="eastAsia"/>
          <w:color w:val="000000"/>
          <w:sz w:val="32"/>
          <w:szCs w:val="32"/>
        </w:rPr>
        <w:t>社会保障和就业（类）行政事业单位养老（款）事业单位离退休（项）：指单位发生的离退休经费，包括离休费、退休费和退休一次性生活补助</w:t>
      </w:r>
      <w:r>
        <w:rPr>
          <w:rFonts w:ascii="仿宋_GB2312" w:eastAsia="仿宋_GB2312" w:hint="eastAsia"/>
          <w:sz w:val="32"/>
          <w:szCs w:val="32"/>
        </w:rPr>
        <w:t>。</w:t>
      </w:r>
    </w:p>
    <w:p w:rsidR="002A6249" w:rsidRDefault="000A7648">
      <w:pPr>
        <w:ind w:firstLineChars="200" w:firstLine="640"/>
        <w:rPr>
          <w:rFonts w:ascii="仿宋_GB2312" w:eastAsia="仿宋_GB2312"/>
          <w:sz w:val="32"/>
          <w:szCs w:val="32"/>
        </w:rPr>
      </w:pPr>
      <w:r>
        <w:rPr>
          <w:rFonts w:ascii="仿宋_GB2312" w:eastAsia="仿宋_GB2312"/>
          <w:sz w:val="32"/>
          <w:szCs w:val="32"/>
        </w:rPr>
        <w:t>10.</w:t>
      </w:r>
      <w:r>
        <w:rPr>
          <w:rFonts w:ascii="仿宋_GB2312" w:eastAsia="仿宋_GB2312" w:hint="eastAsia"/>
          <w:color w:val="000000"/>
          <w:sz w:val="32"/>
          <w:szCs w:val="32"/>
        </w:rPr>
        <w:t>社会保障和就业（类）行政事业单位养老（款）</w:t>
      </w:r>
      <w:r>
        <w:rPr>
          <w:rFonts w:ascii="仿宋" w:eastAsia="仿宋" w:hAnsi="仿宋" w:cs="仿宋" w:hint="eastAsia"/>
          <w:color w:val="000000"/>
          <w:sz w:val="32"/>
          <w:szCs w:val="32"/>
        </w:rPr>
        <w:t>机关事业单位基本养老保险缴费（项）：指单位实施养老保险</w:t>
      </w:r>
      <w:r>
        <w:rPr>
          <w:rFonts w:ascii="仿宋" w:eastAsia="仿宋" w:hAnsi="仿宋" w:cs="仿宋" w:hint="eastAsia"/>
          <w:color w:val="000000"/>
          <w:sz w:val="32"/>
          <w:szCs w:val="32"/>
        </w:rPr>
        <w:lastRenderedPageBreak/>
        <w:t>制度后由单位缴纳的基本养老保险费支出。</w:t>
      </w:r>
    </w:p>
    <w:p w:rsidR="002A6249" w:rsidRDefault="000A7648" w:rsidP="002A6249">
      <w:pPr>
        <w:pStyle w:val="a0"/>
        <w:spacing w:before="93"/>
        <w:ind w:firstLine="600"/>
        <w:rPr>
          <w:color w:val="000000"/>
          <w:sz w:val="32"/>
          <w:szCs w:val="32"/>
        </w:rPr>
      </w:pPr>
      <w:r>
        <w:rPr>
          <w:sz w:val="32"/>
          <w:szCs w:val="32"/>
        </w:rPr>
        <w:t>11.</w:t>
      </w:r>
      <w:r>
        <w:rPr>
          <w:rFonts w:hint="eastAsia"/>
          <w:color w:val="000000"/>
          <w:sz w:val="32"/>
          <w:szCs w:val="32"/>
        </w:rPr>
        <w:t>社会保障和就业（类）行政事业单位养老（款）机关事业单位职业年金缴费（项）：指单位缴纳的职业年金支出。</w:t>
      </w:r>
    </w:p>
    <w:p w:rsidR="002A6249" w:rsidRDefault="000A7648">
      <w:pPr>
        <w:ind w:firstLineChars="200" w:firstLine="640"/>
        <w:rPr>
          <w:rFonts w:ascii="仿宋_GB2312" w:eastAsia="仿宋_GB2312"/>
          <w:sz w:val="32"/>
          <w:szCs w:val="32"/>
        </w:rPr>
      </w:pPr>
      <w:r>
        <w:rPr>
          <w:rFonts w:ascii="仿宋_GB2312" w:eastAsia="仿宋_GB2312"/>
          <w:sz w:val="32"/>
          <w:szCs w:val="32"/>
        </w:rPr>
        <w:t>12.</w:t>
      </w:r>
      <w:r>
        <w:rPr>
          <w:rFonts w:ascii="仿宋_GB2312" w:eastAsia="仿宋_GB2312" w:hint="eastAsia"/>
          <w:color w:val="000000"/>
          <w:sz w:val="32"/>
          <w:szCs w:val="32"/>
        </w:rPr>
        <w:t>社会保障和就业（类）其他社会保障和就业（款）其他社会保障和就业（项）：指其他用于社会和保障就业的支出。</w:t>
      </w:r>
    </w:p>
    <w:p w:rsidR="002A6249" w:rsidRDefault="000A7648">
      <w:pPr>
        <w:ind w:firstLineChars="200" w:firstLine="640"/>
        <w:rPr>
          <w:rFonts w:ascii="仿宋_GB2312" w:eastAsia="仿宋_GB2312"/>
          <w:sz w:val="32"/>
          <w:szCs w:val="32"/>
        </w:rPr>
      </w:pPr>
      <w:r>
        <w:rPr>
          <w:rFonts w:ascii="仿宋_GB2312" w:eastAsia="仿宋_GB2312"/>
          <w:sz w:val="32"/>
          <w:szCs w:val="32"/>
        </w:rPr>
        <w:t>13.</w:t>
      </w:r>
      <w:r>
        <w:rPr>
          <w:rFonts w:ascii="仿宋_GB2312" w:eastAsia="仿宋_GB2312" w:hint="eastAsia"/>
          <w:color w:val="000000"/>
          <w:sz w:val="32"/>
          <w:szCs w:val="32"/>
        </w:rPr>
        <w:t>卫生健康（类）行政事业单位医疗（款）事业单位医疗（项）：指单位为职工买的基本医疗保险。</w:t>
      </w:r>
    </w:p>
    <w:p w:rsidR="002A6249" w:rsidRDefault="000A7648">
      <w:pPr>
        <w:ind w:firstLineChars="200" w:firstLine="640"/>
        <w:rPr>
          <w:rFonts w:ascii="仿宋_GB2312" w:eastAsia="仿宋_GB2312"/>
          <w:sz w:val="32"/>
          <w:szCs w:val="32"/>
        </w:rPr>
      </w:pPr>
      <w:r>
        <w:rPr>
          <w:rFonts w:ascii="仿宋_GB2312" w:eastAsia="仿宋_GB2312"/>
          <w:sz w:val="32"/>
          <w:szCs w:val="32"/>
        </w:rPr>
        <w:t>14.</w:t>
      </w:r>
      <w:r>
        <w:rPr>
          <w:rFonts w:ascii="仿宋_GB2312" w:eastAsia="仿宋_GB2312" w:hint="eastAsia"/>
          <w:color w:val="000000"/>
          <w:sz w:val="32"/>
          <w:szCs w:val="32"/>
        </w:rPr>
        <w:t>资源勘探信息等（类）资源勘探开发（款）其他资源勘探业（项）：指单位保障机构正常运行、开展日常工作的基本支出和实施的项目的支出。</w:t>
      </w:r>
    </w:p>
    <w:p w:rsidR="002A6249" w:rsidRDefault="000A7648">
      <w:pPr>
        <w:ind w:firstLineChars="200" w:firstLine="640"/>
        <w:rPr>
          <w:rFonts w:ascii="仿宋_GB2312" w:eastAsia="仿宋_GB2312"/>
          <w:sz w:val="32"/>
          <w:szCs w:val="32"/>
        </w:rPr>
      </w:pPr>
      <w:r>
        <w:rPr>
          <w:rFonts w:ascii="仿宋_GB2312" w:eastAsia="仿宋_GB2312"/>
          <w:sz w:val="32"/>
          <w:szCs w:val="32"/>
        </w:rPr>
        <w:t>15.</w:t>
      </w:r>
      <w:r>
        <w:rPr>
          <w:rFonts w:ascii="仿宋_GB2312" w:eastAsia="仿宋_GB2312" w:hint="eastAsia"/>
          <w:color w:val="000000"/>
          <w:sz w:val="32"/>
          <w:szCs w:val="32"/>
        </w:rPr>
        <w:t>住房保障（类）住房改革（款）住房公积金（项）：指单位为职工缴纳的住房公积金。</w:t>
      </w:r>
    </w:p>
    <w:p w:rsidR="002A6249" w:rsidRDefault="000A7648">
      <w:pPr>
        <w:ind w:firstLineChars="200" w:firstLine="640"/>
        <w:rPr>
          <w:rFonts w:ascii="仿宋_GB2312" w:eastAsia="仿宋_GB2312"/>
          <w:sz w:val="32"/>
          <w:szCs w:val="32"/>
        </w:rPr>
      </w:pPr>
      <w:r>
        <w:rPr>
          <w:rFonts w:ascii="仿宋_GB2312" w:eastAsia="仿宋_GB2312" w:hint="eastAsia"/>
          <w:sz w:val="32"/>
          <w:szCs w:val="32"/>
        </w:rPr>
        <w:t>16</w:t>
      </w:r>
      <w:r>
        <w:rPr>
          <w:rFonts w:ascii="仿宋_GB2312" w:eastAsia="仿宋_GB2312"/>
          <w:sz w:val="32"/>
          <w:szCs w:val="32"/>
        </w:rPr>
        <w:t>.</w:t>
      </w:r>
      <w:r>
        <w:rPr>
          <w:rFonts w:ascii="仿宋_GB2312" w:eastAsia="仿宋_GB2312" w:hint="eastAsia"/>
          <w:sz w:val="32"/>
          <w:szCs w:val="32"/>
        </w:rPr>
        <w:t>基本支出：指为保障机构正常运转、完成日常工作任务而发生的人员支出和公用支出。</w:t>
      </w:r>
    </w:p>
    <w:p w:rsidR="002A6249" w:rsidRDefault="000A7648">
      <w:pPr>
        <w:ind w:firstLineChars="200" w:firstLine="640"/>
        <w:rPr>
          <w:rFonts w:ascii="仿宋_GB2312" w:eastAsia="仿宋_GB2312"/>
          <w:sz w:val="32"/>
          <w:szCs w:val="32"/>
        </w:rPr>
      </w:pPr>
      <w:r>
        <w:rPr>
          <w:rFonts w:ascii="仿宋_GB2312" w:eastAsia="仿宋_GB2312" w:hint="eastAsia"/>
          <w:sz w:val="32"/>
          <w:szCs w:val="32"/>
        </w:rPr>
        <w:t>17</w:t>
      </w:r>
      <w:r>
        <w:rPr>
          <w:rFonts w:ascii="仿宋_GB2312" w:eastAsia="仿宋_GB2312"/>
          <w:sz w:val="32"/>
          <w:szCs w:val="32"/>
        </w:rPr>
        <w:t>.</w:t>
      </w:r>
      <w:r>
        <w:rPr>
          <w:rFonts w:ascii="仿宋_GB2312" w:eastAsia="仿宋_GB2312" w:hint="eastAsia"/>
          <w:sz w:val="32"/>
          <w:szCs w:val="32"/>
        </w:rPr>
        <w:t>项目支出：指在基本支出之外为完成特定行政任务和事业发展目标所发生的支出。</w:t>
      </w:r>
      <w:r>
        <w:rPr>
          <w:rFonts w:ascii="仿宋_GB2312" w:eastAsia="仿宋_GB2312"/>
          <w:sz w:val="32"/>
          <w:szCs w:val="32"/>
        </w:rPr>
        <w:t xml:space="preserve"> </w:t>
      </w:r>
    </w:p>
    <w:p w:rsidR="002A6249" w:rsidRDefault="000A7648">
      <w:pPr>
        <w:ind w:firstLineChars="200" w:firstLine="640"/>
        <w:rPr>
          <w:rFonts w:ascii="仿宋_GB2312" w:eastAsia="仿宋_GB2312"/>
          <w:sz w:val="32"/>
          <w:szCs w:val="32"/>
        </w:rPr>
      </w:pPr>
      <w:r>
        <w:rPr>
          <w:rFonts w:ascii="仿宋_GB2312" w:eastAsia="仿宋_GB2312" w:hint="eastAsia"/>
          <w:sz w:val="32"/>
          <w:szCs w:val="32"/>
        </w:rPr>
        <w:t>18</w:t>
      </w:r>
      <w:r>
        <w:rPr>
          <w:rFonts w:ascii="仿宋_GB2312" w:eastAsia="仿宋_GB2312"/>
          <w:sz w:val="32"/>
          <w:szCs w:val="32"/>
        </w:rPr>
        <w:t>.</w:t>
      </w:r>
      <w:r>
        <w:rPr>
          <w:rFonts w:ascii="仿宋_GB2312" w:eastAsia="仿宋_GB2312" w:hint="eastAsia"/>
          <w:sz w:val="32"/>
          <w:szCs w:val="32"/>
        </w:rPr>
        <w:t>经营支出：指事业单位在专业业务活动及其辅助活动之外开展非独立核算经营活动发生的支出。</w:t>
      </w:r>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19</w:t>
      </w:r>
      <w:r>
        <w:rPr>
          <w:rFonts w:ascii="仿宋_GB2312" w:eastAsia="仿宋_GB2312"/>
          <w:color w:val="auto"/>
          <w:sz w:val="32"/>
          <w:szCs w:val="32"/>
        </w:rPr>
        <w:t>.</w:t>
      </w:r>
      <w:r>
        <w:rPr>
          <w:rFonts w:ascii="仿宋_GB2312" w:eastAsia="仿宋_GB2312" w:hint="eastAsia"/>
          <w:color w:val="auto"/>
          <w:sz w:val="32"/>
          <w:szCs w:val="32"/>
        </w:rPr>
        <w:t>“三公”经费：指单位用财政拨款安排的因公出国（境）费、公务用车购置及运行费和公务接待费。其中，因公出国（境）费反映单位公务出国（境）的国际旅费、国外</w:t>
      </w:r>
      <w:r>
        <w:rPr>
          <w:rFonts w:ascii="仿宋_GB2312" w:eastAsia="仿宋_GB2312" w:hint="eastAsia"/>
          <w:color w:val="auto"/>
          <w:sz w:val="32"/>
          <w:szCs w:val="32"/>
        </w:rPr>
        <w:lastRenderedPageBreak/>
        <w:t>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2A6249" w:rsidRDefault="000A7648">
      <w:pPr>
        <w:pStyle w:val="Default"/>
        <w:spacing w:line="560" w:lineRule="exact"/>
        <w:ind w:firstLineChars="200" w:firstLine="640"/>
        <w:rPr>
          <w:rFonts w:ascii="仿宋_GB2312" w:eastAsia="仿宋_GB2312"/>
          <w:color w:val="auto"/>
          <w:sz w:val="32"/>
          <w:szCs w:val="32"/>
        </w:rPr>
      </w:pPr>
      <w:r>
        <w:rPr>
          <w:rFonts w:ascii="仿宋_GB2312" w:eastAsia="仿宋_GB2312" w:hint="eastAsia"/>
          <w:color w:val="auto"/>
          <w:sz w:val="32"/>
          <w:szCs w:val="32"/>
        </w:rPr>
        <w:t>20</w:t>
      </w:r>
      <w:r>
        <w:rPr>
          <w:rFonts w:ascii="仿宋_GB2312" w:eastAsia="仿宋_GB2312"/>
          <w:color w:val="auto"/>
          <w:sz w:val="32"/>
          <w:szCs w:val="32"/>
        </w:rPr>
        <w:t>.</w:t>
      </w:r>
      <w:r>
        <w:rPr>
          <w:rFonts w:ascii="仿宋_GB2312" w:eastAsia="仿宋_GB2312" w:hint="eastAsia"/>
          <w:color w:val="auto"/>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2A6249" w:rsidRDefault="000A7648">
      <w:pPr>
        <w:spacing w:line="600" w:lineRule="exact"/>
        <w:jc w:val="center"/>
        <w:outlineLvl w:val="0"/>
        <w:rPr>
          <w:rFonts w:ascii="仿宋" w:eastAsia="仿宋" w:hAnsi="仿宋"/>
        </w:rPr>
      </w:pPr>
      <w:bookmarkStart w:id="52" w:name="_Toc15377226"/>
      <w:r>
        <w:rPr>
          <w:rFonts w:ascii="宋体"/>
          <w:b/>
          <w:sz w:val="44"/>
          <w:szCs w:val="44"/>
        </w:rPr>
        <w:br w:type="page"/>
      </w:r>
      <w:bookmarkStart w:id="53" w:name="_Toc15396618"/>
      <w:r>
        <w:rPr>
          <w:rFonts w:ascii="黑体" w:eastAsia="黑体" w:hAnsi="黑体" w:hint="eastAsia"/>
          <w:sz w:val="44"/>
          <w:szCs w:val="44"/>
        </w:rPr>
        <w:lastRenderedPageBreak/>
        <w:t>第四</w:t>
      </w:r>
      <w:r>
        <w:rPr>
          <w:rStyle w:val="1Char"/>
          <w:rFonts w:ascii="黑体" w:eastAsia="黑体" w:hAnsi="黑体" w:hint="eastAsia"/>
          <w:b w:val="0"/>
        </w:rPr>
        <w:t>部分 附表</w:t>
      </w:r>
      <w:bookmarkStart w:id="54" w:name="_Toc15396619"/>
      <w:bookmarkEnd w:id="52"/>
      <w:bookmarkEnd w:id="53"/>
    </w:p>
    <w:p w:rsidR="002A6249" w:rsidRDefault="000A7648">
      <w:pPr>
        <w:pStyle w:val="2"/>
        <w:rPr>
          <w:rFonts w:ascii="仿宋" w:eastAsia="仿宋" w:hAnsi="仿宋"/>
        </w:rPr>
      </w:pPr>
      <w:r>
        <w:rPr>
          <w:rFonts w:ascii="仿宋" w:eastAsia="仿宋" w:hAnsi="仿宋" w:hint="eastAsia"/>
          <w:b w:val="0"/>
        </w:rPr>
        <w:t>一、收</w:t>
      </w:r>
      <w:r>
        <w:rPr>
          <w:rStyle w:val="2Char"/>
          <w:rFonts w:ascii="仿宋" w:eastAsia="仿宋" w:hAnsi="仿宋" w:hint="eastAsia"/>
        </w:rPr>
        <w:t>入支出决算总表</w:t>
      </w:r>
      <w:bookmarkEnd w:id="54"/>
    </w:p>
    <w:p w:rsidR="002A6249" w:rsidRDefault="000A7648">
      <w:pPr>
        <w:pStyle w:val="2"/>
        <w:rPr>
          <w:rFonts w:ascii="仿宋" w:eastAsia="仿宋" w:hAnsi="仿宋"/>
        </w:rPr>
      </w:pPr>
      <w:bookmarkStart w:id="55" w:name="_Toc15396620"/>
      <w:r>
        <w:rPr>
          <w:rFonts w:ascii="仿宋" w:eastAsia="仿宋" w:hAnsi="仿宋" w:hint="eastAsia"/>
          <w:b w:val="0"/>
        </w:rPr>
        <w:t>二、收</w:t>
      </w:r>
      <w:r>
        <w:rPr>
          <w:rStyle w:val="2Char"/>
          <w:rFonts w:ascii="仿宋" w:eastAsia="仿宋" w:hAnsi="仿宋" w:hint="eastAsia"/>
        </w:rPr>
        <w:t>入决算表</w:t>
      </w:r>
      <w:bookmarkEnd w:id="55"/>
    </w:p>
    <w:p w:rsidR="002A6249" w:rsidRDefault="000A7648">
      <w:pPr>
        <w:pStyle w:val="2"/>
        <w:rPr>
          <w:rFonts w:ascii="仿宋" w:eastAsia="仿宋" w:hAnsi="仿宋"/>
        </w:rPr>
      </w:pPr>
      <w:bookmarkStart w:id="56" w:name="_Toc15396621"/>
      <w:r>
        <w:rPr>
          <w:rStyle w:val="2Char"/>
          <w:rFonts w:ascii="仿宋" w:eastAsia="仿宋" w:hAnsi="仿宋" w:hint="eastAsia"/>
        </w:rPr>
        <w:t>三、</w:t>
      </w:r>
      <w:r>
        <w:rPr>
          <w:rFonts w:ascii="仿宋" w:eastAsia="仿宋" w:hAnsi="仿宋" w:hint="eastAsia"/>
          <w:b w:val="0"/>
        </w:rPr>
        <w:t>支</w:t>
      </w:r>
      <w:r>
        <w:rPr>
          <w:rStyle w:val="2Char"/>
          <w:rFonts w:ascii="仿宋" w:eastAsia="仿宋" w:hAnsi="仿宋" w:hint="eastAsia"/>
        </w:rPr>
        <w:t>出决算表</w:t>
      </w:r>
      <w:bookmarkEnd w:id="56"/>
    </w:p>
    <w:p w:rsidR="002A6249" w:rsidRDefault="000A7648">
      <w:pPr>
        <w:pStyle w:val="2"/>
        <w:rPr>
          <w:rFonts w:ascii="仿宋" w:eastAsia="仿宋" w:hAnsi="仿宋"/>
          <w:b w:val="0"/>
        </w:rPr>
      </w:pPr>
      <w:bookmarkStart w:id="57" w:name="_Toc15396622"/>
      <w:r>
        <w:rPr>
          <w:rStyle w:val="2Char"/>
          <w:rFonts w:ascii="仿宋" w:eastAsia="仿宋" w:hAnsi="仿宋" w:hint="eastAsia"/>
        </w:rPr>
        <w:t>四、</w:t>
      </w:r>
      <w:r>
        <w:rPr>
          <w:rFonts w:ascii="仿宋" w:eastAsia="仿宋" w:hAnsi="仿宋" w:hint="eastAsia"/>
          <w:b w:val="0"/>
        </w:rPr>
        <w:t>财</w:t>
      </w:r>
      <w:r>
        <w:rPr>
          <w:rStyle w:val="2Char"/>
          <w:rFonts w:ascii="仿宋" w:eastAsia="仿宋" w:hAnsi="仿宋" w:hint="eastAsia"/>
        </w:rPr>
        <w:t>政拨款收入支出决算总表</w:t>
      </w:r>
      <w:bookmarkEnd w:id="57"/>
    </w:p>
    <w:p w:rsidR="002A6249" w:rsidRDefault="000A7648">
      <w:pPr>
        <w:pStyle w:val="2"/>
        <w:rPr>
          <w:rStyle w:val="2Char"/>
          <w:rFonts w:ascii="仿宋" w:eastAsia="仿宋" w:hAnsi="仿宋"/>
        </w:rPr>
      </w:pPr>
      <w:bookmarkStart w:id="58" w:name="_Toc15396623"/>
      <w:r>
        <w:rPr>
          <w:rStyle w:val="2Char"/>
          <w:rFonts w:ascii="仿宋" w:eastAsia="仿宋" w:hAnsi="仿宋" w:hint="eastAsia"/>
        </w:rPr>
        <w:t>五、</w:t>
      </w:r>
      <w:r>
        <w:rPr>
          <w:rFonts w:ascii="仿宋" w:eastAsia="仿宋" w:hAnsi="仿宋" w:hint="eastAsia"/>
          <w:b w:val="0"/>
        </w:rPr>
        <w:t>财</w:t>
      </w:r>
      <w:r>
        <w:rPr>
          <w:rStyle w:val="2Char"/>
          <w:rFonts w:ascii="仿宋" w:eastAsia="仿宋" w:hAnsi="仿宋" w:hint="eastAsia"/>
        </w:rPr>
        <w:t>政拨款支出决算明细表</w:t>
      </w:r>
      <w:bookmarkStart w:id="59" w:name="_Toc15396624"/>
      <w:bookmarkEnd w:id="58"/>
    </w:p>
    <w:p w:rsidR="002A6249" w:rsidRDefault="000A7648">
      <w:pPr>
        <w:pStyle w:val="2"/>
        <w:rPr>
          <w:rFonts w:ascii="仿宋" w:eastAsia="仿宋" w:hAnsi="仿宋"/>
        </w:rPr>
      </w:pPr>
      <w:r>
        <w:rPr>
          <w:rStyle w:val="2Char"/>
          <w:rFonts w:ascii="仿宋" w:eastAsia="仿宋" w:hAnsi="仿宋" w:hint="eastAsia"/>
        </w:rPr>
        <w:t>六、</w:t>
      </w:r>
      <w:r>
        <w:rPr>
          <w:rFonts w:ascii="仿宋" w:eastAsia="仿宋" w:hAnsi="仿宋" w:hint="eastAsia"/>
          <w:b w:val="0"/>
        </w:rPr>
        <w:t>一</w:t>
      </w:r>
      <w:r>
        <w:rPr>
          <w:rStyle w:val="2Char"/>
          <w:rFonts w:ascii="仿宋" w:eastAsia="仿宋" w:hAnsi="仿宋" w:hint="eastAsia"/>
        </w:rPr>
        <w:t>般公共预算财政拨款支出决算表</w:t>
      </w:r>
      <w:bookmarkEnd w:id="59"/>
    </w:p>
    <w:p w:rsidR="002A6249" w:rsidRDefault="000A7648">
      <w:pPr>
        <w:pStyle w:val="2"/>
        <w:rPr>
          <w:rFonts w:ascii="仿宋" w:eastAsia="仿宋" w:hAnsi="仿宋"/>
        </w:rPr>
      </w:pPr>
      <w:bookmarkStart w:id="60" w:name="_Toc15396625"/>
      <w:r>
        <w:rPr>
          <w:rStyle w:val="2Char"/>
          <w:rFonts w:ascii="仿宋" w:eastAsia="仿宋" w:hAnsi="仿宋" w:hint="eastAsia"/>
        </w:rPr>
        <w:t>七、</w:t>
      </w:r>
      <w:r>
        <w:rPr>
          <w:rFonts w:ascii="仿宋" w:eastAsia="仿宋" w:hAnsi="仿宋" w:hint="eastAsia"/>
          <w:b w:val="0"/>
        </w:rPr>
        <w:t>一</w:t>
      </w:r>
      <w:r>
        <w:rPr>
          <w:rStyle w:val="2Char"/>
          <w:rFonts w:ascii="仿宋" w:eastAsia="仿宋" w:hAnsi="仿宋" w:hint="eastAsia"/>
        </w:rPr>
        <w:t>般公共预算财政拨款支出决算明细表</w:t>
      </w:r>
      <w:bookmarkEnd w:id="60"/>
    </w:p>
    <w:p w:rsidR="002A6249" w:rsidRDefault="000A7648">
      <w:pPr>
        <w:pStyle w:val="2"/>
        <w:rPr>
          <w:rFonts w:ascii="仿宋" w:eastAsia="仿宋" w:hAnsi="仿宋"/>
        </w:rPr>
      </w:pPr>
      <w:bookmarkStart w:id="61" w:name="_Toc15396626"/>
      <w:r>
        <w:rPr>
          <w:rStyle w:val="2Char"/>
          <w:rFonts w:ascii="仿宋" w:eastAsia="仿宋" w:hAnsi="仿宋" w:hint="eastAsia"/>
        </w:rPr>
        <w:t>八、</w:t>
      </w:r>
      <w:r>
        <w:rPr>
          <w:rFonts w:ascii="仿宋" w:eastAsia="仿宋" w:hAnsi="仿宋" w:hint="eastAsia"/>
          <w:b w:val="0"/>
        </w:rPr>
        <w:t>一</w:t>
      </w:r>
      <w:r>
        <w:rPr>
          <w:rStyle w:val="2Char"/>
          <w:rFonts w:ascii="仿宋" w:eastAsia="仿宋" w:hAnsi="仿宋" w:hint="eastAsia"/>
        </w:rPr>
        <w:t>般公共预算财政拨款基本支出决算表</w:t>
      </w:r>
      <w:bookmarkEnd w:id="61"/>
    </w:p>
    <w:p w:rsidR="002A6249" w:rsidRDefault="000A7648">
      <w:pPr>
        <w:pStyle w:val="2"/>
        <w:rPr>
          <w:rFonts w:ascii="仿宋" w:eastAsia="仿宋" w:hAnsi="仿宋"/>
        </w:rPr>
      </w:pPr>
      <w:bookmarkStart w:id="62" w:name="_Toc15396627"/>
      <w:r>
        <w:rPr>
          <w:rStyle w:val="2Char"/>
          <w:rFonts w:ascii="仿宋" w:eastAsia="仿宋" w:hAnsi="仿宋" w:hint="eastAsia"/>
        </w:rPr>
        <w:t>九、</w:t>
      </w:r>
      <w:r>
        <w:rPr>
          <w:rFonts w:ascii="仿宋" w:eastAsia="仿宋" w:hAnsi="仿宋" w:hint="eastAsia"/>
          <w:b w:val="0"/>
        </w:rPr>
        <w:t>一</w:t>
      </w:r>
      <w:r>
        <w:rPr>
          <w:rStyle w:val="2Char"/>
          <w:rFonts w:ascii="仿宋" w:eastAsia="仿宋" w:hAnsi="仿宋" w:hint="eastAsia"/>
        </w:rPr>
        <w:t>般公共预算财政拨款项目支出决算表</w:t>
      </w:r>
      <w:bookmarkEnd w:id="62"/>
    </w:p>
    <w:p w:rsidR="002A6249" w:rsidRDefault="000A7648">
      <w:pPr>
        <w:pStyle w:val="2"/>
        <w:rPr>
          <w:rFonts w:ascii="仿宋" w:eastAsia="仿宋" w:hAnsi="仿宋"/>
        </w:rPr>
      </w:pPr>
      <w:bookmarkStart w:id="63" w:name="_Toc15396628"/>
      <w:r>
        <w:rPr>
          <w:rStyle w:val="2Char"/>
          <w:rFonts w:ascii="仿宋" w:eastAsia="仿宋" w:hAnsi="仿宋" w:hint="eastAsia"/>
        </w:rPr>
        <w:t>十、</w:t>
      </w:r>
      <w:r>
        <w:rPr>
          <w:rFonts w:ascii="仿宋" w:eastAsia="仿宋" w:hAnsi="仿宋" w:hint="eastAsia"/>
          <w:b w:val="0"/>
        </w:rPr>
        <w:t>一</w:t>
      </w:r>
      <w:r>
        <w:rPr>
          <w:rStyle w:val="2Char"/>
          <w:rFonts w:ascii="仿宋" w:eastAsia="仿宋" w:hAnsi="仿宋" w:hint="eastAsia"/>
        </w:rPr>
        <w:t>般公共预算财政拨款“三公”经费支出决算表</w:t>
      </w:r>
      <w:bookmarkEnd w:id="63"/>
    </w:p>
    <w:p w:rsidR="002A6249" w:rsidRDefault="000A7648">
      <w:pPr>
        <w:pStyle w:val="2"/>
        <w:rPr>
          <w:rFonts w:ascii="仿宋" w:eastAsia="仿宋" w:hAnsi="仿宋"/>
        </w:rPr>
      </w:pPr>
      <w:bookmarkStart w:id="64" w:name="_Toc15396629"/>
      <w:r>
        <w:rPr>
          <w:rStyle w:val="2Char"/>
          <w:rFonts w:ascii="仿宋" w:eastAsia="仿宋" w:hAnsi="仿宋" w:hint="eastAsia"/>
        </w:rPr>
        <w:t>十一、</w:t>
      </w:r>
      <w:r>
        <w:rPr>
          <w:rFonts w:ascii="仿宋" w:eastAsia="仿宋" w:hAnsi="仿宋" w:hint="eastAsia"/>
          <w:b w:val="0"/>
        </w:rPr>
        <w:t>政</w:t>
      </w:r>
      <w:r>
        <w:rPr>
          <w:rStyle w:val="2Char"/>
          <w:rFonts w:ascii="仿宋" w:eastAsia="仿宋" w:hAnsi="仿宋" w:hint="eastAsia"/>
        </w:rPr>
        <w:t>府性基金预算财政拨款收入支出决算表</w:t>
      </w:r>
      <w:bookmarkEnd w:id="64"/>
    </w:p>
    <w:p w:rsidR="002A6249" w:rsidRDefault="000A7648">
      <w:pPr>
        <w:pStyle w:val="2"/>
        <w:rPr>
          <w:rFonts w:ascii="仿宋" w:eastAsia="仿宋" w:hAnsi="仿宋"/>
        </w:rPr>
      </w:pPr>
      <w:bookmarkStart w:id="65" w:name="_Toc15396630"/>
      <w:r>
        <w:rPr>
          <w:rStyle w:val="2Char"/>
          <w:rFonts w:ascii="仿宋" w:eastAsia="仿宋" w:hAnsi="仿宋" w:hint="eastAsia"/>
        </w:rPr>
        <w:t>十二、</w:t>
      </w:r>
      <w:r>
        <w:rPr>
          <w:rFonts w:ascii="仿宋" w:eastAsia="仿宋" w:hAnsi="仿宋" w:hint="eastAsia"/>
          <w:b w:val="0"/>
        </w:rPr>
        <w:t>政</w:t>
      </w:r>
      <w:r>
        <w:rPr>
          <w:rStyle w:val="2Char"/>
          <w:rFonts w:ascii="仿宋" w:eastAsia="仿宋" w:hAnsi="仿宋" w:hint="eastAsia"/>
        </w:rPr>
        <w:t>府性基金预算财政拨款“三公”经费支出决算表</w:t>
      </w:r>
      <w:bookmarkEnd w:id="65"/>
    </w:p>
    <w:p w:rsidR="002A6249" w:rsidRDefault="000A7648">
      <w:pPr>
        <w:pStyle w:val="2"/>
        <w:rPr>
          <w:rStyle w:val="2Char"/>
          <w:rFonts w:ascii="仿宋" w:eastAsia="仿宋" w:hAnsi="仿宋"/>
        </w:rPr>
      </w:pPr>
      <w:bookmarkStart w:id="66" w:name="_Toc15396631"/>
      <w:r>
        <w:rPr>
          <w:rStyle w:val="2Char"/>
          <w:rFonts w:ascii="仿宋" w:eastAsia="仿宋" w:hAnsi="仿宋" w:hint="eastAsia"/>
        </w:rPr>
        <w:t>十三、</w:t>
      </w:r>
      <w:r>
        <w:rPr>
          <w:rFonts w:ascii="仿宋" w:eastAsia="仿宋" w:hAnsi="仿宋" w:hint="eastAsia"/>
          <w:b w:val="0"/>
        </w:rPr>
        <w:t>国</w:t>
      </w:r>
      <w:r>
        <w:rPr>
          <w:rStyle w:val="2Char"/>
          <w:rFonts w:ascii="仿宋" w:eastAsia="仿宋" w:hAnsi="仿宋" w:hint="eastAsia"/>
        </w:rPr>
        <w:t>有资本经营预算财政拨款收入支出决算表</w:t>
      </w:r>
      <w:bookmarkEnd w:id="66"/>
    </w:p>
    <w:p w:rsidR="002A6249" w:rsidRDefault="000A7648">
      <w:pPr>
        <w:rPr>
          <w:rFonts w:eastAsia="仿宋"/>
        </w:rPr>
      </w:pPr>
      <w:r>
        <w:rPr>
          <w:rStyle w:val="2Char"/>
          <w:rFonts w:ascii="仿宋" w:eastAsia="仿宋" w:hAnsi="仿宋" w:hint="eastAsia"/>
          <w:b w:val="0"/>
          <w:bCs w:val="0"/>
        </w:rPr>
        <w:t>十四、国有资本经营预算财政拨款支出决算表</w:t>
      </w:r>
    </w:p>
    <w:sectPr w:rsidR="002A6249" w:rsidSect="002A6249">
      <w:footerReference w:type="default" r:id="rId18"/>
      <w:footerReference w:type="first" r:id="rId19"/>
      <w:pgSz w:w="11906" w:h="16838"/>
      <w:pgMar w:top="1440" w:right="1800" w:bottom="1440" w:left="1800"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3284" w:rsidRDefault="00843284" w:rsidP="002A6249">
      <w:r>
        <w:separator/>
      </w:r>
    </w:p>
  </w:endnote>
  <w:endnote w:type="continuationSeparator" w:id="0">
    <w:p w:rsidR="00843284" w:rsidRDefault="00843284" w:rsidP="002A6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0" w:usb1="080E0000" w:usb2="0000000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49" w:rsidRDefault="00C61F39">
    <w:pPr>
      <w:pStyle w:val="a5"/>
    </w:pPr>
    <w:r>
      <w:pict>
        <v:shapetype id="_x0000_t202" coordsize="21600,21600" o:spt="202" path="m,l,21600r21600,l21600,xe">
          <v:stroke joinstyle="miter"/>
          <v:path gradientshapeok="t" o:connecttype="rect"/>
        </v:shapetype>
        <v:shape id="_x0000_s2051" type="#_x0000_t202" style="position:absolute;margin-left:0;margin-top:0;width:2in;height:2in;z-index:25166438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filled="f" stroked="f" strokeweight=".5pt">
          <v:textbox style="mso-fit-shape-to-text:t" inset="0,0,0,0">
            <w:txbxContent>
              <w:p w:rsidR="002A6249" w:rsidRDefault="00C61F39">
                <w:pPr>
                  <w:pStyle w:val="a5"/>
                </w:pPr>
                <w:r>
                  <w:fldChar w:fldCharType="begin"/>
                </w:r>
                <w:r w:rsidR="000A7648">
                  <w:instrText xml:space="preserve"> PAGE  \* MERGEFORMAT </w:instrText>
                </w:r>
                <w:r>
                  <w:fldChar w:fldCharType="separate"/>
                </w:r>
                <w:r w:rsidR="008D7ED7">
                  <w:rPr>
                    <w:noProof/>
                  </w:rPr>
                  <w:t>3</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49" w:rsidRDefault="00C61F39">
    <w:pPr>
      <w:pStyle w:val="a5"/>
    </w:pPr>
    <w:r>
      <w:pict>
        <v:shapetype id="_x0000_t202" coordsize="21600,21600" o:spt="202" path="m,l,21600r21600,l21600,xe">
          <v:stroke joinstyle="miter"/>
          <v:path gradientshapeok="t" o:connecttype="rect"/>
        </v:shapetype>
        <v:shape id="_x0000_s2052" type="#_x0000_t202" style="position:absolute;margin-left:0;margin-top:0;width:2in;height:2in;z-index:251659264;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FE50y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QYphGxU8/vp9+&#10;Ppx+fSM4g0CNCzPE3TtExvadbRE8nAccJt5t5XX6ghGBH/IeL/KKNhKeLk0n02kOF4dv2AA/e7zu&#10;fIjvhdUkGQX1qF8nKztsQuxDh5CUzdi1VKqroTKkKejV67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IwUTnTICAABjBAAADgAAAAAAAAABACAAAAAfAQAAZHJzL2Uyb0RvYy54bWxQSwUG&#10;AAAAAAYABgBZAQAAwwUAAAAA&#10;" filled="f" stroked="f" strokeweight=".5pt">
          <v:textbox style="mso-fit-shape-to-text:t" inset="0,0,0,0">
            <w:txbxContent>
              <w:p w:rsidR="002A6249" w:rsidRDefault="00C61F39">
                <w:pPr>
                  <w:pStyle w:val="a5"/>
                </w:pPr>
                <w:r>
                  <w:fldChar w:fldCharType="begin"/>
                </w:r>
                <w:r w:rsidR="000A7648">
                  <w:instrText xml:space="preserve"> PAGE  \* MERGEFORMAT </w:instrText>
                </w:r>
                <w:r>
                  <w:fldChar w:fldCharType="separate"/>
                </w:r>
                <w:r w:rsidR="000A7648">
                  <w:t>1</w:t>
                </w:r>
                <w:r>
                  <w:fldChar w:fldCharType="end"/>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49" w:rsidRDefault="00C61F39">
    <w:pPr>
      <w:pStyle w:val="a5"/>
      <w:jc w:val="center"/>
    </w:pPr>
    <w:r>
      <w:pict>
        <v:shapetype id="_x0000_t202" coordsize="21600,21600" o:spt="202" path="m,l,21600r21600,l21600,xe">
          <v:stroke joinstyle="miter"/>
          <v:path gradientshapeok="t" o:connecttype="rect"/>
        </v:shapetype>
        <v:shape id="_x0000_s2049" type="#_x0000_t202" style="position:absolute;left:0;text-align:left;margin-left:0;margin-top:0;width:2in;height:2in;z-index:25166540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filled="f" stroked="f" strokeweight=".5pt">
          <v:textbox style="mso-fit-shape-to-text:t" inset="0,0,0,0">
            <w:txbxContent>
              <w:p w:rsidR="002A6249" w:rsidRDefault="00C61F39">
                <w:pPr>
                  <w:pStyle w:val="a5"/>
                </w:pPr>
                <w:r>
                  <w:fldChar w:fldCharType="begin"/>
                </w:r>
                <w:r w:rsidR="000A7648">
                  <w:instrText xml:space="preserve"> PAGE  \* MERGEFORMAT </w:instrText>
                </w:r>
                <w:r>
                  <w:fldChar w:fldCharType="separate"/>
                </w:r>
                <w:r w:rsidR="008D7ED7">
                  <w:rPr>
                    <w:noProof/>
                  </w:rPr>
                  <w:t>2</w:t>
                </w:r>
                <w:r>
                  <w:fldChar w:fldCharType="end"/>
                </w:r>
              </w:p>
            </w:txbxContent>
          </v:textbox>
          <w10:wrap anchorx="margin"/>
        </v:shape>
      </w:pict>
    </w:r>
    <w:sdt>
      <w:sdtPr>
        <w:id w:val="-1994781956"/>
      </w:sdtPr>
      <w:sdtContent/>
    </w:sdt>
  </w:p>
  <w:p w:rsidR="002A6249" w:rsidRDefault="002A6249">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49" w:rsidRDefault="00C61F39">
    <w:pPr>
      <w:pStyle w:val="a5"/>
    </w:pPr>
    <w:r>
      <w:pict>
        <v:shapetype id="_x0000_t202" coordsize="21600,21600" o:spt="202" path="m,l,21600r21600,l21600,xe">
          <v:stroke joinstyle="miter"/>
          <v:path gradientshapeok="t" o:connecttype="rect"/>
        </v:shapetype>
        <v:shape id="_x0000_s2050" type="#_x0000_t202" style="position:absolute;margin-left:0;margin-top:0;width:2in;height:2in;z-index:25166336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filled="f" stroked="f" strokeweight=".5pt">
          <v:textbox style="mso-fit-shape-to-text:t" inset="0,0,0,0">
            <w:txbxContent>
              <w:p w:rsidR="002A6249" w:rsidRDefault="00C61F39">
                <w:pPr>
                  <w:pStyle w:val="a5"/>
                </w:pPr>
                <w:r>
                  <w:fldChar w:fldCharType="begin"/>
                </w:r>
                <w:r w:rsidR="000A7648">
                  <w:instrText xml:space="preserve"> PAGE  \* MERGEFORMAT </w:instrText>
                </w:r>
                <w:r>
                  <w:fldChar w:fldCharType="separate"/>
                </w:r>
                <w:r w:rsidR="000A7648">
                  <w:t>1</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3284" w:rsidRDefault="00843284" w:rsidP="002A6249">
      <w:r>
        <w:separator/>
      </w:r>
    </w:p>
  </w:footnote>
  <w:footnote w:type="continuationSeparator" w:id="0">
    <w:p w:rsidR="00843284" w:rsidRDefault="00843284" w:rsidP="002A6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49" w:rsidRDefault="002A6249">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6249" w:rsidRDefault="002A6249">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F652CEC"/>
    <w:multiLevelType w:val="singleLevel"/>
    <w:tmpl w:val="CF652CEC"/>
    <w:lvl w:ilvl="0">
      <w:start w:val="9"/>
      <w:numFmt w:val="chineseCounting"/>
      <w:suff w:val="nothing"/>
      <w:lvlText w:val="%1、"/>
      <w:lvlJc w:val="left"/>
      <w:rPr>
        <w:rFonts w:hint="eastAsia"/>
      </w:rPr>
    </w:lvl>
  </w:abstractNum>
  <w:abstractNum w:abstractNumId="1">
    <w:nsid w:val="E2FA047D"/>
    <w:multiLevelType w:val="singleLevel"/>
    <w:tmpl w:val="E2FA047D"/>
    <w:lvl w:ilvl="0">
      <w:start w:val="3"/>
      <w:numFmt w:val="chineseCounting"/>
      <w:suff w:val="space"/>
      <w:lvlText w:val="第%1部分"/>
      <w:lvlJc w:val="left"/>
      <w:rPr>
        <w:rFonts w:ascii="黑体" w:eastAsia="黑体" w:hAnsi="黑体" w:cs="黑体" w:hint="eastAsia"/>
        <w:sz w:val="44"/>
        <w:szCs w:val="44"/>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6146"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NGQyNDAyYTJjZDEzZjU0NTk0N2U3NDU3YzRmZjMzODEifQ=="/>
  </w:docVars>
  <w:rsids>
    <w:rsidRoot w:val="00F1361C"/>
    <w:rsid w:val="9E3A10E2"/>
    <w:rsid w:val="F2E1F9D4"/>
    <w:rsid w:val="F7880819"/>
    <w:rsid w:val="00011B25"/>
    <w:rsid w:val="000222C6"/>
    <w:rsid w:val="0002549F"/>
    <w:rsid w:val="000468DB"/>
    <w:rsid w:val="0006487A"/>
    <w:rsid w:val="00065F8F"/>
    <w:rsid w:val="00070A43"/>
    <w:rsid w:val="000768F2"/>
    <w:rsid w:val="0009184B"/>
    <w:rsid w:val="00094236"/>
    <w:rsid w:val="0009593C"/>
    <w:rsid w:val="00097322"/>
    <w:rsid w:val="000A6A92"/>
    <w:rsid w:val="000A7648"/>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17C9B"/>
    <w:rsid w:val="00220536"/>
    <w:rsid w:val="00235629"/>
    <w:rsid w:val="002600D2"/>
    <w:rsid w:val="00260C38"/>
    <w:rsid w:val="002616C0"/>
    <w:rsid w:val="00265372"/>
    <w:rsid w:val="002662AA"/>
    <w:rsid w:val="00280496"/>
    <w:rsid w:val="00294DC9"/>
    <w:rsid w:val="00295495"/>
    <w:rsid w:val="002A31DE"/>
    <w:rsid w:val="002A6249"/>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485A"/>
    <w:rsid w:val="003D66DA"/>
    <w:rsid w:val="003E1310"/>
    <w:rsid w:val="003E6F55"/>
    <w:rsid w:val="00406254"/>
    <w:rsid w:val="004223DE"/>
    <w:rsid w:val="00434489"/>
    <w:rsid w:val="00437085"/>
    <w:rsid w:val="00443880"/>
    <w:rsid w:val="004464F4"/>
    <w:rsid w:val="00471401"/>
    <w:rsid w:val="00473F31"/>
    <w:rsid w:val="0048263A"/>
    <w:rsid w:val="00487E5D"/>
    <w:rsid w:val="004950C2"/>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2C01"/>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43284"/>
    <w:rsid w:val="00850625"/>
    <w:rsid w:val="00853718"/>
    <w:rsid w:val="00855221"/>
    <w:rsid w:val="00860645"/>
    <w:rsid w:val="00871F71"/>
    <w:rsid w:val="00872FD8"/>
    <w:rsid w:val="00885AF4"/>
    <w:rsid w:val="008939CD"/>
    <w:rsid w:val="008B768C"/>
    <w:rsid w:val="008C4DB1"/>
    <w:rsid w:val="008C4EAF"/>
    <w:rsid w:val="008C5176"/>
    <w:rsid w:val="008C7FD0"/>
    <w:rsid w:val="008D7ED7"/>
    <w:rsid w:val="008E1DE7"/>
    <w:rsid w:val="008E707C"/>
    <w:rsid w:val="00900B08"/>
    <w:rsid w:val="00902155"/>
    <w:rsid w:val="00902FA3"/>
    <w:rsid w:val="009113EC"/>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2645"/>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BF6028"/>
    <w:rsid w:val="00C03E31"/>
    <w:rsid w:val="00C33E72"/>
    <w:rsid w:val="00C354B2"/>
    <w:rsid w:val="00C35554"/>
    <w:rsid w:val="00C42709"/>
    <w:rsid w:val="00C533CC"/>
    <w:rsid w:val="00C5751C"/>
    <w:rsid w:val="00C61BFC"/>
    <w:rsid w:val="00C61F39"/>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E733D"/>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D564E"/>
    <w:rsid w:val="00FF1E02"/>
    <w:rsid w:val="00FF30B4"/>
    <w:rsid w:val="01F42D45"/>
    <w:rsid w:val="09B41F0F"/>
    <w:rsid w:val="0A2032A3"/>
    <w:rsid w:val="0B8A37D8"/>
    <w:rsid w:val="0B9B5939"/>
    <w:rsid w:val="0D844E64"/>
    <w:rsid w:val="0E3D37C1"/>
    <w:rsid w:val="0E9F7A3C"/>
    <w:rsid w:val="105C4CA3"/>
    <w:rsid w:val="10C055FF"/>
    <w:rsid w:val="118107EC"/>
    <w:rsid w:val="11DD6519"/>
    <w:rsid w:val="141B3889"/>
    <w:rsid w:val="14FF5EF4"/>
    <w:rsid w:val="16BB723D"/>
    <w:rsid w:val="178F6961"/>
    <w:rsid w:val="18015F3F"/>
    <w:rsid w:val="1A79478A"/>
    <w:rsid w:val="1BE8440E"/>
    <w:rsid w:val="1D155CEE"/>
    <w:rsid w:val="20F57F95"/>
    <w:rsid w:val="240371BF"/>
    <w:rsid w:val="24662149"/>
    <w:rsid w:val="25A854C1"/>
    <w:rsid w:val="25C741E6"/>
    <w:rsid w:val="26393298"/>
    <w:rsid w:val="269C2771"/>
    <w:rsid w:val="27842671"/>
    <w:rsid w:val="29FD04D3"/>
    <w:rsid w:val="2ABE7A3E"/>
    <w:rsid w:val="2B65249A"/>
    <w:rsid w:val="2CE55C88"/>
    <w:rsid w:val="2EFA178C"/>
    <w:rsid w:val="30202CB7"/>
    <w:rsid w:val="30B46D73"/>
    <w:rsid w:val="30DE3248"/>
    <w:rsid w:val="319F7F4E"/>
    <w:rsid w:val="336772F3"/>
    <w:rsid w:val="33A337B2"/>
    <w:rsid w:val="39AE70AB"/>
    <w:rsid w:val="3AA0553E"/>
    <w:rsid w:val="3C0C0783"/>
    <w:rsid w:val="3F2A6CE3"/>
    <w:rsid w:val="3F9F3A96"/>
    <w:rsid w:val="41D279D5"/>
    <w:rsid w:val="48A56114"/>
    <w:rsid w:val="493C27E9"/>
    <w:rsid w:val="49556BAF"/>
    <w:rsid w:val="496F39ED"/>
    <w:rsid w:val="49FF41D3"/>
    <w:rsid w:val="4BE068DB"/>
    <w:rsid w:val="4BF6002B"/>
    <w:rsid w:val="4ECE2238"/>
    <w:rsid w:val="51DB4B86"/>
    <w:rsid w:val="55333C3E"/>
    <w:rsid w:val="59C26995"/>
    <w:rsid w:val="5A20384C"/>
    <w:rsid w:val="5AD24B13"/>
    <w:rsid w:val="5BD031A2"/>
    <w:rsid w:val="5DC23FA4"/>
    <w:rsid w:val="60892F76"/>
    <w:rsid w:val="629C2F6D"/>
    <w:rsid w:val="62B11585"/>
    <w:rsid w:val="64CA39A1"/>
    <w:rsid w:val="64CC4681"/>
    <w:rsid w:val="658806DC"/>
    <w:rsid w:val="65976A3F"/>
    <w:rsid w:val="666F49D8"/>
    <w:rsid w:val="6B3B7EB7"/>
    <w:rsid w:val="6C4A05C8"/>
    <w:rsid w:val="70404A2B"/>
    <w:rsid w:val="72170C69"/>
    <w:rsid w:val="72734D90"/>
    <w:rsid w:val="74575C64"/>
    <w:rsid w:val="76B455F0"/>
    <w:rsid w:val="78D635FC"/>
    <w:rsid w:val="79E7B28D"/>
    <w:rsid w:val="7E6F5063"/>
    <w:rsid w:val="7F196938"/>
    <w:rsid w:val="7F9F20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qFormat="1"/>
    <w:lsdException w:name="toc 2" w:semiHidden="0" w:uiPriority="39"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Body Text" w:semiHidden="0" w:unhideWhenUsed="0" w:qFormat="1"/>
    <w:lsdException w:name="Subtitle" w:semiHidden="0" w:uiPriority="11" w:unhideWhenUsed="0" w:qFormat="1"/>
    <w:lsdException w:name="Hyperlink" w:semiHidden="0" w:qFormat="1"/>
    <w:lsdException w:name="Strong" w:semiHidden="0" w:unhideWhenUsed="0" w:qFormat="1"/>
    <w:lsdException w:name="Emphasis" w:semiHidden="0" w:uiPriority="20" w:unhideWhenUsed="0" w:qFormat="1"/>
    <w:lsdException w:name="Normal Table"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2A6249"/>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uiPriority w:val="9"/>
    <w:qFormat/>
    <w:rsid w:val="002A6249"/>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2A6249"/>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2A6249"/>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iPriority w:val="99"/>
    <w:qFormat/>
    <w:rsid w:val="002A6249"/>
    <w:pPr>
      <w:spacing w:beforeLines="30"/>
    </w:pPr>
    <w:rPr>
      <w:rFonts w:ascii="仿宋_GB2312" w:eastAsia="仿宋_GB2312"/>
      <w:kern w:val="0"/>
      <w:sz w:val="30"/>
    </w:rPr>
  </w:style>
  <w:style w:type="paragraph" w:styleId="30">
    <w:name w:val="toc 3"/>
    <w:basedOn w:val="a"/>
    <w:next w:val="a"/>
    <w:uiPriority w:val="39"/>
    <w:unhideWhenUsed/>
    <w:qFormat/>
    <w:rsid w:val="002A6249"/>
    <w:pPr>
      <w:tabs>
        <w:tab w:val="right" w:leader="dot" w:pos="8296"/>
      </w:tabs>
      <w:ind w:leftChars="400" w:left="840"/>
    </w:pPr>
  </w:style>
  <w:style w:type="paragraph" w:styleId="a4">
    <w:name w:val="Balloon Text"/>
    <w:basedOn w:val="a"/>
    <w:link w:val="Char0"/>
    <w:uiPriority w:val="99"/>
    <w:semiHidden/>
    <w:unhideWhenUsed/>
    <w:qFormat/>
    <w:rsid w:val="002A6249"/>
    <w:rPr>
      <w:sz w:val="18"/>
      <w:szCs w:val="18"/>
    </w:rPr>
  </w:style>
  <w:style w:type="paragraph" w:styleId="a5">
    <w:name w:val="footer"/>
    <w:basedOn w:val="a"/>
    <w:link w:val="Char1"/>
    <w:uiPriority w:val="99"/>
    <w:qFormat/>
    <w:rsid w:val="002A6249"/>
    <w:pPr>
      <w:tabs>
        <w:tab w:val="center" w:pos="4153"/>
        <w:tab w:val="right" w:pos="8306"/>
      </w:tabs>
      <w:snapToGrid w:val="0"/>
      <w:jc w:val="left"/>
    </w:pPr>
    <w:rPr>
      <w:rFonts w:ascii="Calibri" w:hAnsi="Calibri"/>
      <w:kern w:val="0"/>
      <w:sz w:val="18"/>
      <w:szCs w:val="18"/>
    </w:rPr>
  </w:style>
  <w:style w:type="paragraph" w:styleId="a6">
    <w:name w:val="header"/>
    <w:basedOn w:val="a"/>
    <w:link w:val="Char2"/>
    <w:uiPriority w:val="99"/>
    <w:semiHidden/>
    <w:qFormat/>
    <w:rsid w:val="002A6249"/>
    <w:pPr>
      <w:pBdr>
        <w:bottom w:val="single" w:sz="6" w:space="1" w:color="auto"/>
      </w:pBdr>
      <w:tabs>
        <w:tab w:val="center" w:pos="4153"/>
        <w:tab w:val="right" w:pos="8306"/>
      </w:tabs>
      <w:snapToGrid w:val="0"/>
      <w:jc w:val="center"/>
    </w:pPr>
    <w:rPr>
      <w:rFonts w:ascii="Calibri" w:hAnsi="Calibri"/>
      <w:kern w:val="0"/>
      <w:sz w:val="18"/>
      <w:szCs w:val="18"/>
    </w:rPr>
  </w:style>
  <w:style w:type="paragraph" w:styleId="10">
    <w:name w:val="toc 1"/>
    <w:basedOn w:val="a"/>
    <w:next w:val="a"/>
    <w:uiPriority w:val="39"/>
    <w:unhideWhenUsed/>
    <w:qFormat/>
    <w:rsid w:val="002A6249"/>
    <w:pPr>
      <w:tabs>
        <w:tab w:val="right" w:leader="dot" w:pos="8296"/>
      </w:tabs>
      <w:spacing w:before="93"/>
      <w:jc w:val="center"/>
    </w:pPr>
    <w:rPr>
      <w:rFonts w:ascii="仿宋" w:eastAsia="仿宋" w:hAnsi="仿宋"/>
      <w:sz w:val="28"/>
      <w:szCs w:val="28"/>
    </w:rPr>
  </w:style>
  <w:style w:type="paragraph" w:styleId="20">
    <w:name w:val="toc 2"/>
    <w:basedOn w:val="a"/>
    <w:next w:val="a"/>
    <w:uiPriority w:val="39"/>
    <w:unhideWhenUsed/>
    <w:qFormat/>
    <w:rsid w:val="002A6249"/>
    <w:pPr>
      <w:tabs>
        <w:tab w:val="right" w:leader="dot" w:pos="8296"/>
      </w:tabs>
      <w:ind w:leftChars="200" w:left="420"/>
    </w:pPr>
  </w:style>
  <w:style w:type="character" w:styleId="a7">
    <w:name w:val="Strong"/>
    <w:basedOn w:val="a1"/>
    <w:uiPriority w:val="99"/>
    <w:qFormat/>
    <w:rsid w:val="002A6249"/>
    <w:rPr>
      <w:b/>
    </w:rPr>
  </w:style>
  <w:style w:type="character" w:styleId="a8">
    <w:name w:val="Hyperlink"/>
    <w:basedOn w:val="a1"/>
    <w:uiPriority w:val="99"/>
    <w:unhideWhenUsed/>
    <w:qFormat/>
    <w:rsid w:val="002A6249"/>
    <w:rPr>
      <w:color w:val="0000FF" w:themeColor="hyperlink"/>
      <w:u w:val="single"/>
    </w:rPr>
  </w:style>
  <w:style w:type="character" w:customStyle="1" w:styleId="HeaderChar">
    <w:name w:val="Header Char"/>
    <w:basedOn w:val="a1"/>
    <w:uiPriority w:val="99"/>
    <w:semiHidden/>
    <w:qFormat/>
    <w:rsid w:val="002A6249"/>
    <w:rPr>
      <w:rFonts w:ascii="Times New Roman" w:hAnsi="Times New Roman"/>
      <w:sz w:val="18"/>
      <w:szCs w:val="18"/>
    </w:rPr>
  </w:style>
  <w:style w:type="character" w:customStyle="1" w:styleId="Char2">
    <w:name w:val="页眉 Char"/>
    <w:link w:val="a6"/>
    <w:uiPriority w:val="99"/>
    <w:semiHidden/>
    <w:qFormat/>
    <w:locked/>
    <w:rsid w:val="002A6249"/>
    <w:rPr>
      <w:sz w:val="18"/>
    </w:rPr>
  </w:style>
  <w:style w:type="character" w:customStyle="1" w:styleId="FooterChar">
    <w:name w:val="Footer Char"/>
    <w:basedOn w:val="a1"/>
    <w:uiPriority w:val="99"/>
    <w:semiHidden/>
    <w:qFormat/>
    <w:rsid w:val="002A6249"/>
    <w:rPr>
      <w:rFonts w:ascii="Times New Roman" w:hAnsi="Times New Roman"/>
      <w:sz w:val="18"/>
      <w:szCs w:val="18"/>
    </w:rPr>
  </w:style>
  <w:style w:type="character" w:customStyle="1" w:styleId="Char1">
    <w:name w:val="页脚 Char"/>
    <w:link w:val="a5"/>
    <w:uiPriority w:val="99"/>
    <w:qFormat/>
    <w:locked/>
    <w:rsid w:val="002A6249"/>
    <w:rPr>
      <w:sz w:val="18"/>
    </w:rPr>
  </w:style>
  <w:style w:type="character" w:customStyle="1" w:styleId="BodyTextChar">
    <w:name w:val="Body Text Char"/>
    <w:basedOn w:val="a1"/>
    <w:uiPriority w:val="99"/>
    <w:semiHidden/>
    <w:qFormat/>
    <w:rsid w:val="002A6249"/>
    <w:rPr>
      <w:rFonts w:ascii="Times New Roman" w:hAnsi="Times New Roman"/>
      <w:szCs w:val="24"/>
    </w:rPr>
  </w:style>
  <w:style w:type="character" w:customStyle="1" w:styleId="Char">
    <w:name w:val="正文文本 Char"/>
    <w:link w:val="a0"/>
    <w:uiPriority w:val="99"/>
    <w:qFormat/>
    <w:locked/>
    <w:rsid w:val="002A6249"/>
    <w:rPr>
      <w:rFonts w:ascii="仿宋_GB2312" w:eastAsia="仿宋_GB2312" w:hAnsi="Times New Roman"/>
      <w:sz w:val="24"/>
    </w:rPr>
  </w:style>
  <w:style w:type="paragraph" w:customStyle="1" w:styleId="Default">
    <w:name w:val="Default"/>
    <w:uiPriority w:val="99"/>
    <w:qFormat/>
    <w:rsid w:val="002A6249"/>
    <w:pPr>
      <w:widowControl w:val="0"/>
      <w:autoSpaceDE w:val="0"/>
      <w:autoSpaceDN w:val="0"/>
      <w:adjustRightInd w:val="0"/>
    </w:pPr>
    <w:rPr>
      <w:rFonts w:ascii="仿宋" w:eastAsia="仿宋" w:hAnsi="Calibri" w:cs="仿宋"/>
      <w:color w:val="000000"/>
      <w:sz w:val="24"/>
      <w:szCs w:val="24"/>
    </w:rPr>
  </w:style>
  <w:style w:type="paragraph" w:styleId="a9">
    <w:name w:val="List Paragraph"/>
    <w:basedOn w:val="a"/>
    <w:uiPriority w:val="34"/>
    <w:qFormat/>
    <w:rsid w:val="002A6249"/>
    <w:pPr>
      <w:ind w:firstLineChars="200" w:firstLine="420"/>
    </w:pPr>
  </w:style>
  <w:style w:type="character" w:customStyle="1" w:styleId="1Char">
    <w:name w:val="标题 1 Char"/>
    <w:basedOn w:val="a1"/>
    <w:link w:val="1"/>
    <w:uiPriority w:val="9"/>
    <w:qFormat/>
    <w:rsid w:val="002A6249"/>
    <w:rPr>
      <w:rFonts w:ascii="Times New Roman" w:hAnsi="Times New Roman"/>
      <w:b/>
      <w:bCs/>
      <w:kern w:val="44"/>
      <w:sz w:val="44"/>
      <w:szCs w:val="44"/>
    </w:rPr>
  </w:style>
  <w:style w:type="character" w:customStyle="1" w:styleId="2Char">
    <w:name w:val="标题 2 Char"/>
    <w:basedOn w:val="a1"/>
    <w:link w:val="2"/>
    <w:uiPriority w:val="9"/>
    <w:qFormat/>
    <w:rsid w:val="002A6249"/>
    <w:rPr>
      <w:rFonts w:asciiTheme="majorHAnsi" w:eastAsiaTheme="majorEastAsia" w:hAnsiTheme="majorHAnsi" w:cstheme="majorBidi"/>
      <w:b/>
      <w:bCs/>
      <w:kern w:val="2"/>
      <w:sz w:val="32"/>
      <w:szCs w:val="32"/>
    </w:rPr>
  </w:style>
  <w:style w:type="paragraph" w:customStyle="1" w:styleId="TOC1">
    <w:name w:val="TOC 标题1"/>
    <w:basedOn w:val="1"/>
    <w:next w:val="a"/>
    <w:uiPriority w:val="39"/>
    <w:unhideWhenUsed/>
    <w:qFormat/>
    <w:rsid w:val="002A624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character" w:customStyle="1" w:styleId="Char0">
    <w:name w:val="批注框文本 Char"/>
    <w:basedOn w:val="a1"/>
    <w:link w:val="a4"/>
    <w:uiPriority w:val="99"/>
    <w:semiHidden/>
    <w:qFormat/>
    <w:rsid w:val="002A6249"/>
    <w:rPr>
      <w:rFonts w:ascii="Times New Roman" w:hAnsi="Times New Roman"/>
      <w:kern w:val="2"/>
      <w:sz w:val="18"/>
      <w:szCs w:val="18"/>
    </w:rPr>
  </w:style>
  <w:style w:type="character" w:customStyle="1" w:styleId="3Char">
    <w:name w:val="标题 3 Char"/>
    <w:basedOn w:val="a1"/>
    <w:link w:val="3"/>
    <w:uiPriority w:val="9"/>
    <w:qFormat/>
    <w:rsid w:val="002A6249"/>
    <w:rPr>
      <w:rFonts w:ascii="Times New Roman" w:hAnsi="Times New Roman"/>
      <w:b/>
      <w:bCs/>
      <w:kern w:val="2"/>
      <w:sz w:val="32"/>
      <w:szCs w:val="32"/>
    </w:rPr>
  </w:style>
  <w:style w:type="paragraph" w:customStyle="1" w:styleId="TOC2">
    <w:name w:val="TOC 标题2"/>
    <w:basedOn w:val="1"/>
    <w:next w:val="a"/>
    <w:uiPriority w:val="39"/>
    <w:unhideWhenUsed/>
    <w:qFormat/>
    <w:rsid w:val="002A624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hart" Target="charts/chart2.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chart" Target="charts/chart6.xml"/><Relationship Id="rId2" Type="http://schemas.openxmlformats.org/officeDocument/2006/relationships/numbering" Target="numbering.xml"/><Relationship Id="rId16" Type="http://schemas.openxmlformats.org/officeDocument/2006/relationships/chart" Target="charts/chart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4.xml"/><Relationship Id="rId10" Type="http://schemas.openxmlformats.org/officeDocument/2006/relationships/header" Target="header2.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1111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2121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3131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4141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551515.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661616.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2021年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1634.76</c:v>
                </c:pt>
              </c:numCache>
            </c:numRef>
          </c:val>
        </c:ser>
        <c:ser>
          <c:idx val="1"/>
          <c:order val="1"/>
          <c:tx>
            <c:strRef>
              <c:f>Sheet1!$C$1</c:f>
              <c:strCache>
                <c:ptCount val="1"/>
                <c:pt idx="0">
                  <c:v>2020年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1294.23</c:v>
                </c:pt>
              </c:numCache>
            </c:numRef>
          </c:val>
        </c:ser>
        <c:gapWidth val="219"/>
        <c:overlap val="-27"/>
        <c:axId val="34801536"/>
        <c:axId val="34808960"/>
      </c:barChart>
      <c:catAx>
        <c:axId val="34801536"/>
        <c:scaling>
          <c:orientation val="minMax"/>
        </c:scaling>
        <c:delete val="1"/>
        <c:axPos val="b"/>
        <c:majorTickMark val="none"/>
        <c:tickLblPos val="none"/>
        <c:crossAx val="34808960"/>
        <c:crosses val="autoZero"/>
        <c:auto val="1"/>
        <c:lblAlgn val="ctr"/>
        <c:lblOffset val="100"/>
      </c:catAx>
      <c:valAx>
        <c:axId val="34808960"/>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34801536"/>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收入总额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layout>
                <c:manualLayout>
                  <c:x val="-2.7760863324069228E-3"/>
                  <c:y val="-8.3274897861237415E-2"/>
                </c:manualLayout>
              </c:layout>
              <c:tx>
                <c:rich>
                  <a:bodyPr/>
                  <a:lstStyle/>
                  <a:p>
                    <a:r>
                      <a:rPr lang="en-US" altLang="zh-CN"/>
                      <a:t>1633.16</a:t>
                    </a:r>
                  </a:p>
                </c:rich>
              </c:tx>
              <c:dLblPos val="bestFit"/>
              <c:showVal val="1"/>
              <c:extLst>
                <c:ext xmlns:c15="http://schemas.microsoft.com/office/drawing/2012/chart" uri="{CE6537A1-D6FC-4f65-9D91-7224C49458BB}">
                  <c15:layout/>
                </c:ext>
              </c:extLst>
            </c:dLbl>
            <c:dLbl>
              <c:idx val="1"/>
              <c:tx>
                <c:rich>
                  <a:bodyPr/>
                  <a:lstStyle/>
                  <a:p>
                    <a:r>
                      <a:rPr lang="en-US" altLang="zh-CN"/>
                      <a:t>1.6</a:t>
                    </a:r>
                  </a:p>
                </c:rich>
              </c:tx>
              <c:dLblPos val="bestFit"/>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1633.1599999999999</c:v>
                </c:pt>
                <c:pt idx="1">
                  <c:v>1.6</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Lbls>
            <c:dLbl>
              <c:idx val="0"/>
              <c:tx>
                <c:rich>
                  <a:bodyPr/>
                  <a:lstStyle/>
                  <a:p>
                    <a:r>
                      <a:rPr lang="en-US" altLang="zh-CN"/>
                      <a:t>1552.76</a:t>
                    </a:r>
                  </a:p>
                </c:rich>
              </c:tx>
              <c:dLblPos val="bestFit"/>
              <c:showVal val="1"/>
              <c:extLst>
                <c:ext xmlns:c15="http://schemas.microsoft.com/office/drawing/2012/chart" uri="{CE6537A1-D6FC-4f65-9D91-7224C49458BB}"/>
              </c:extLst>
            </c:dLbl>
            <c:dLbl>
              <c:idx val="1"/>
              <c:tx>
                <c:rich>
                  <a:bodyPr/>
                  <a:lstStyle/>
                  <a:p>
                    <a:r>
                      <a:rPr lang="en-US" altLang="zh-CN"/>
                      <a:t>82.00</a:t>
                    </a:r>
                  </a:p>
                </c:rich>
              </c:tx>
              <c:dLblPos val="bestFit"/>
              <c:showVal val="1"/>
              <c:extLst>
                <c:ext xmlns:c15="http://schemas.microsoft.com/office/drawing/2012/chart" uri="{CE6537A1-D6FC-4f65-9D91-7224C49458BB}"/>
              </c:extLst>
            </c:dLbl>
            <c:delete val="1"/>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基本支出</c:v>
                </c:pt>
                <c:pt idx="1">
                  <c:v>项目支出</c:v>
                </c:pt>
              </c:strCache>
            </c:strRef>
          </c:cat>
          <c:val>
            <c:numRef>
              <c:f>Sheet1!$B$2:$B$3</c:f>
              <c:numCache>
                <c:formatCode>General</c:formatCode>
                <c:ptCount val="2"/>
                <c:pt idx="0">
                  <c:v>1552.76</c:v>
                </c:pt>
                <c:pt idx="1">
                  <c:v>82</c:v>
                </c:pt>
              </c:numCache>
            </c:numRef>
          </c:val>
        </c:ser>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manualLayout>
          <c:layoutTarget val="inner"/>
          <c:xMode val="edge"/>
          <c:yMode val="edge"/>
          <c:x val="7.6825000000000018E-2"/>
          <c:y val="3.4166666666666706E-2"/>
          <c:w val="0.89380000000000004"/>
          <c:h val="0.85083333333333355"/>
        </c:manualLayout>
      </c:layout>
      <c:barChart>
        <c:barDir val="col"/>
        <c:grouping val="clustered"/>
        <c:ser>
          <c:idx val="0"/>
          <c:order val="0"/>
          <c:tx>
            <c:strRef>
              <c:f>Sheet1!$B$1</c:f>
              <c:strCache>
                <c:ptCount val="1"/>
                <c:pt idx="0">
                  <c:v>2021年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1633.1599999999999</c:v>
                </c:pt>
              </c:numCache>
            </c:numRef>
          </c:val>
        </c:ser>
        <c:ser>
          <c:idx val="1"/>
          <c:order val="1"/>
          <c:tx>
            <c:strRef>
              <c:f>Sheet1!$C$1</c:f>
              <c:strCache>
                <c:ptCount val="1"/>
                <c:pt idx="0">
                  <c:v>2020年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1292.7</c:v>
                </c:pt>
              </c:numCache>
            </c:numRef>
          </c:val>
        </c:ser>
        <c:dLbls>
          <c:showVal val="1"/>
        </c:dLbls>
        <c:gapWidth val="219"/>
        <c:overlap val="-27"/>
        <c:axId val="106978304"/>
        <c:axId val="137549696"/>
      </c:barChart>
      <c:catAx>
        <c:axId val="106978304"/>
        <c:scaling>
          <c:orientation val="minMax"/>
        </c:scaling>
        <c:delete val="1"/>
        <c:axPos val="b"/>
        <c:majorTickMark val="none"/>
        <c:tickLblPos val="none"/>
        <c:crossAx val="137549696"/>
        <c:crosses val="autoZero"/>
        <c:auto val="1"/>
        <c:lblAlgn val="ctr"/>
        <c:lblOffset val="100"/>
      </c:catAx>
      <c:valAx>
        <c:axId val="1375496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06978304"/>
        <c:crosses val="autoZero"/>
        <c:crossBetween val="between"/>
      </c:valAx>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barChart>
        <c:barDir val="col"/>
        <c:grouping val="clustered"/>
        <c:ser>
          <c:idx val="0"/>
          <c:order val="0"/>
          <c:tx>
            <c:strRef>
              <c:f>Sheet1!$B$1</c:f>
              <c:strCache>
                <c:ptCount val="1"/>
                <c:pt idx="0">
                  <c:v>2021年</c:v>
                </c:pt>
              </c:strCache>
            </c:strRef>
          </c:tx>
          <c:spPr>
            <a:solidFill>
              <a:schemeClr val="accent1"/>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Sheet1!$B$2</c:f>
              <c:numCache>
                <c:formatCode>General</c:formatCode>
                <c:ptCount val="1"/>
                <c:pt idx="0">
                  <c:v>1633.1599999999999</c:v>
                </c:pt>
              </c:numCache>
            </c:numRef>
          </c:val>
        </c:ser>
        <c:ser>
          <c:idx val="1"/>
          <c:order val="1"/>
          <c:tx>
            <c:strRef>
              <c:f>Sheet1!$C$1</c:f>
              <c:strCache>
                <c:ptCount val="1"/>
                <c:pt idx="0">
                  <c:v>2020年</c:v>
                </c:pt>
              </c:strCache>
            </c:strRef>
          </c:tx>
          <c:spPr>
            <a:solidFill>
              <a:schemeClr val="accent2"/>
            </a:solidFill>
            <a:ln>
              <a:noFill/>
            </a:ln>
            <a:effectLst/>
          </c:spPr>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outEnd"/>
            <c:showVal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类别 1</c:v>
                </c:pt>
              </c:strCache>
            </c:strRef>
          </c:cat>
          <c:val>
            <c:numRef>
              <c:f>Sheet1!$C$2</c:f>
              <c:numCache>
                <c:formatCode>General</c:formatCode>
                <c:ptCount val="1"/>
                <c:pt idx="0">
                  <c:v>1292.7</c:v>
                </c:pt>
              </c:numCache>
            </c:numRef>
          </c:val>
        </c:ser>
        <c:ser>
          <c:idx val="2"/>
          <c:order val="2"/>
          <c:tx>
            <c:strRef>
              <c:f>Sheet1!#REF!</c:f>
              <c:strCache>
                <c:ptCount val="1"/>
              </c:strCache>
            </c:strRef>
          </c:tx>
          <c:spPr>
            <a:solidFill>
              <a:schemeClr val="accent3"/>
            </a:solidFill>
            <a:ln>
              <a:noFill/>
            </a:ln>
            <a:effectLst/>
          </c:spPr>
          <c:cat>
            <c:strRef>
              <c:f>Sheet1!$A$2</c:f>
              <c:strCache>
                <c:ptCount val="1"/>
                <c:pt idx="0">
                  <c:v>类别 1</c:v>
                </c:pt>
              </c:strCache>
            </c:strRef>
          </c:cat>
          <c:val>
            <c:numRef>
              <c:f>Sheet1!#REF!</c:f>
              <c:numCache>
                <c:formatCode>General</c:formatCode>
                <c:ptCount val="1"/>
                <c:pt idx="0">
                  <c:v>1</c:v>
                </c:pt>
              </c:numCache>
            </c:numRef>
          </c:val>
        </c:ser>
        <c:gapWidth val="219"/>
        <c:overlap val="-27"/>
        <c:axId val="143866112"/>
        <c:axId val="143876096"/>
      </c:barChart>
      <c:catAx>
        <c:axId val="143866112"/>
        <c:scaling>
          <c:orientation val="minMax"/>
        </c:scaling>
        <c:delete val="1"/>
        <c:axPos val="b"/>
        <c:majorTickMark val="none"/>
        <c:tickLblPos val="none"/>
        <c:crossAx val="143876096"/>
        <c:crosses val="autoZero"/>
        <c:auto val="1"/>
        <c:lblAlgn val="ctr"/>
        <c:lblOffset val="100"/>
      </c:catAx>
      <c:valAx>
        <c:axId val="143876096"/>
        <c:scaling>
          <c:orientation val="minMax"/>
        </c:scaling>
        <c:axPos val="l"/>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crossAx val="143866112"/>
        <c:crosses val="autoZero"/>
        <c:crossBetween val="between"/>
      </c:valAx>
      <c:spPr>
        <a:noFill/>
        <a:ln>
          <a:noFill/>
        </a:ln>
        <a:effectLst/>
      </c:spPr>
    </c:plotArea>
    <c:legend>
      <c:legendPos val="b"/>
      <c:legendEntry>
        <c:idx val="2"/>
        <c:delete val="1"/>
      </c:legendEntry>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zh-CN"/>
  <c:chart>
    <c:autoTitleDeleted val="1"/>
    <c:plotArea>
      <c:layout/>
      <c:pieChart>
        <c:varyColors val="1"/>
        <c:ser>
          <c:idx val="0"/>
          <c:order val="0"/>
          <c:tx>
            <c:strRef>
              <c:f>Sheet1!$B$1</c:f>
              <c:strCache>
                <c:ptCount val="1"/>
                <c:pt idx="0">
                  <c:v>销售额</c:v>
                </c:pt>
              </c:strCache>
            </c:strRef>
          </c:tx>
          <c:dPt>
            <c:idx val="0"/>
            <c:spPr>
              <a:solidFill>
                <a:schemeClr val="accent1"/>
              </a:solidFill>
              <a:ln w="19050">
                <a:solidFill>
                  <a:schemeClr val="lt1"/>
                </a:solidFill>
              </a:ln>
              <a:effectLst/>
            </c:spPr>
          </c:dPt>
          <c:dPt>
            <c:idx val="1"/>
            <c:spPr>
              <a:solidFill>
                <a:schemeClr val="accent2"/>
              </a:solidFill>
              <a:ln w="19050">
                <a:solidFill>
                  <a:schemeClr val="lt1"/>
                </a:solidFill>
              </a:ln>
              <a:effectLst/>
            </c:spPr>
          </c:dPt>
          <c:dPt>
            <c:idx val="2"/>
            <c:spPr>
              <a:solidFill>
                <a:schemeClr val="accent3"/>
              </a:solidFill>
              <a:ln w="19050">
                <a:solidFill>
                  <a:schemeClr val="lt1"/>
                </a:solidFill>
              </a:ln>
              <a:effectLst/>
            </c:spPr>
          </c:dPt>
          <c:dPt>
            <c:idx val="3"/>
            <c:spPr>
              <a:solidFill>
                <a:schemeClr val="accent4"/>
              </a:solidFill>
              <a:ln w="19050">
                <a:solidFill>
                  <a:schemeClr val="lt1"/>
                </a:solidFill>
              </a:ln>
              <a:effectLst/>
            </c:spPr>
          </c:dPt>
          <c:dLbls>
            <c:dLbl>
              <c:idx val="0"/>
              <c:tx>
                <c:rich>
                  <a:bodyPr/>
                  <a:lstStyle/>
                  <a:p>
                    <a:r>
                      <a:rPr lang="en-US" altLang="zh-CN"/>
                      <a:t>637.73</a:t>
                    </a:r>
                  </a:p>
                </c:rich>
              </c:tx>
              <c:dLblPos val="bestFit"/>
              <c:showVal val="1"/>
              <c:extLst>
                <c:ext xmlns:c15="http://schemas.microsoft.com/office/drawing/2012/chart" uri="{CE6537A1-D6FC-4f65-9D91-7224C49458BB}"/>
              </c:extLst>
            </c:dLbl>
            <c:dLbl>
              <c:idx val="1"/>
              <c:tx>
                <c:rich>
                  <a:bodyPr/>
                  <a:lstStyle/>
                  <a:p>
                    <a:r>
                      <a:rPr lang="en-US" altLang="zh-CN"/>
                      <a:t>77.94</a:t>
                    </a:r>
                  </a:p>
                </c:rich>
              </c:tx>
              <c:dLblPos val="bestFit"/>
              <c:showVal val="1"/>
              <c:extLst>
                <c:ext xmlns:c15="http://schemas.microsoft.com/office/drawing/2012/chart" uri="{CE6537A1-D6FC-4f65-9D91-7224C49458BB}"/>
              </c:extLst>
            </c:dLbl>
            <c:dLbl>
              <c:idx val="2"/>
              <c:tx>
                <c:rich>
                  <a:bodyPr/>
                  <a:lstStyle/>
                  <a:p>
                    <a:r>
                      <a:rPr lang="en-US" altLang="zh-CN"/>
                      <a:t>850.27</a:t>
                    </a:r>
                  </a:p>
                </c:rich>
              </c:tx>
              <c:dLblPos val="bestFit"/>
              <c:showVal val="1"/>
              <c:extLst>
                <c:ext xmlns:c15="http://schemas.microsoft.com/office/drawing/2012/chart" uri="{CE6537A1-D6FC-4f65-9D91-7224C49458BB}"/>
              </c:extLst>
            </c:dLbl>
            <c:dLbl>
              <c:idx val="3"/>
              <c:tx>
                <c:rich>
                  <a:bodyPr/>
                  <a:lstStyle/>
                  <a:p>
                    <a:r>
                      <a:rPr lang="en-US" altLang="zh-CN"/>
                      <a:t>67.22</a:t>
                    </a:r>
                  </a:p>
                </c:rich>
              </c:tx>
              <c:dLblPos val="bestFit"/>
              <c:showVal val="1"/>
              <c:extLst>
                <c:ext xmlns:c15="http://schemas.microsoft.com/office/drawing/2012/chart" uri="{CE6537A1-D6FC-4f65-9D91-7224C49458BB}"/>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endParaRPr lang="zh-CN"/>
              </a:p>
            </c:txPr>
            <c:dLblPos val="bestFit"/>
            <c:showVal val="1"/>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社会保障和就业支出</c:v>
                </c:pt>
                <c:pt idx="1">
                  <c:v>卫生健康支出</c:v>
                </c:pt>
                <c:pt idx="2">
                  <c:v>资源勘探工业信息等支出</c:v>
                </c:pt>
                <c:pt idx="3">
                  <c:v>住房保障支出</c:v>
                </c:pt>
              </c:strCache>
            </c:strRef>
          </c:cat>
          <c:val>
            <c:numRef>
              <c:f>Sheet1!$B$2:$B$5</c:f>
              <c:numCache>
                <c:formatCode>General</c:formatCode>
                <c:ptCount val="4"/>
                <c:pt idx="0">
                  <c:v>637.73</c:v>
                </c:pt>
                <c:pt idx="1">
                  <c:v>77.940000000000026</c:v>
                </c:pt>
                <c:pt idx="2">
                  <c:v>850.27000000000055</c:v>
                </c:pt>
                <c:pt idx="3">
                  <c:v>67.22</c:v>
                </c:pt>
              </c:numCache>
            </c:numRef>
          </c:val>
        </c:ser>
        <c:dLbls>
          <c:showVal val="1"/>
        </c:dLbls>
        <c:firstSliceAng val="0"/>
      </c:pieChart>
      <c:spPr>
        <a:noFill/>
        <a:ln>
          <a:noFill/>
        </a:ln>
        <a:effectLst/>
      </c:spPr>
    </c:plotArea>
    <c:legend>
      <c:legendPos val="b"/>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chart>
  <c:spPr>
    <a:solidFill>
      <a:schemeClr val="bg1"/>
    </a:solidFill>
    <a:ln w="9525" cap="flat" cmpd="sng" algn="ctr">
      <a:solidFill>
        <a:schemeClr val="tx1">
          <a:lumMod val="15000"/>
          <a:lumOff val="85000"/>
        </a:schemeClr>
      </a:solidFill>
      <a:round/>
    </a:ln>
    <a:effectLst/>
  </c:spPr>
  <c:txPr>
    <a:bodyPr/>
    <a:lstStyle/>
    <a:p>
      <a:pPr>
        <a:defRPr lang="zh-CN"/>
      </a:pPr>
      <a:endParaRPr lang="zh-CN"/>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18</Pages>
  <Words>781</Words>
  <Characters>4457</Characters>
  <Application>Microsoft Office Word</Application>
  <DocSecurity>0</DocSecurity>
  <Lines>37</Lines>
  <Paragraphs>10</Paragraphs>
  <ScaleCrop>false</ScaleCrop>
  <Company>四川省财政厅</Company>
  <LinksUpToDate>false</LinksUpToDate>
  <CharactersWithSpaces>5228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四川省***</dc:title>
  <dc:creator>曹颖</dc:creator>
  <cp:lastModifiedBy>杨国英</cp:lastModifiedBy>
  <cp:revision>41</cp:revision>
  <cp:lastPrinted>2022-08-06T02:23:00Z</cp:lastPrinted>
  <dcterms:created xsi:type="dcterms:W3CDTF">2020-08-05T01:49:00Z</dcterms:created>
  <dcterms:modified xsi:type="dcterms:W3CDTF">2022-11-11T04:13:00Z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6F11F7FCE8FE4AF897790DC49B655DFB</vt:lpwstr>
  </property>
</Properties>
</file>